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76E" w:rsidRPr="00345103" w:rsidRDefault="0091576E" w:rsidP="008965AF">
      <w:pPr>
        <w:jc w:val="both"/>
        <w:rPr>
          <w:b/>
        </w:rPr>
      </w:pPr>
      <w:r w:rsidRPr="00345103">
        <w:rPr>
          <w:b/>
        </w:rPr>
        <w:t>SVT Clinical Vascular Scientist Job Planning:</w:t>
      </w:r>
    </w:p>
    <w:p w:rsidR="0091576E" w:rsidRDefault="0091576E" w:rsidP="008965AF">
      <w:pPr>
        <w:jc w:val="both"/>
      </w:pPr>
      <w:r>
        <w:t>Job planning is an agreement, which may be detailed in a job description or part of your contract of employment, which details your duties and</w:t>
      </w:r>
      <w:r w:rsidRPr="00C825E6">
        <w:t xml:space="preserve"> responsibilities</w:t>
      </w:r>
      <w:r>
        <w:t xml:space="preserve">. This may sometimes be reviewed annually with </w:t>
      </w:r>
      <w:r w:rsidRPr="00C825E6">
        <w:t xml:space="preserve">objectives </w:t>
      </w:r>
      <w:r>
        <w:t xml:space="preserve">set </w:t>
      </w:r>
      <w:r w:rsidRPr="00C825E6">
        <w:t>for the coming year</w:t>
      </w:r>
      <w:r>
        <w:t xml:space="preserve"> usually through appraisal</w:t>
      </w:r>
      <w:r w:rsidRPr="00C825E6">
        <w:t xml:space="preserve">. </w:t>
      </w:r>
      <w:r>
        <w:t xml:space="preserve"> </w:t>
      </w:r>
      <w:r w:rsidRPr="00C825E6">
        <w:t xml:space="preserve">You and your employer should reach an agreement about how you will use your time and resources to deliver individual and service objectives. </w:t>
      </w:r>
      <w:r>
        <w:t xml:space="preserve">The time allocation of these sessions (sometimes referred to as PAs – programmed activities) is usually 10 sessions per 37.5 hour week, 2 per day.  </w:t>
      </w:r>
    </w:p>
    <w:p w:rsidR="0091576E" w:rsidRDefault="0091576E" w:rsidP="008965AF">
      <w:pPr>
        <w:jc w:val="both"/>
      </w:pPr>
      <w:r>
        <w:t xml:space="preserve">The SVT recommend that the role of a </w:t>
      </w:r>
      <w:r w:rsidRPr="00345103">
        <w:t>Clinical Vascular Scientist</w:t>
      </w:r>
      <w:r>
        <w:t xml:space="preserve"> should involve both clinical and non-clinical duties (as per Job </w:t>
      </w:r>
      <w:r w:rsidR="003C1FE5">
        <w:t>Descriptions</w:t>
      </w:r>
      <w:r>
        <w:t xml:space="preserve"> and Job Profiles). The suggested (pro-rata) allocation is 80% clinical time </w:t>
      </w:r>
      <w:r w:rsidR="004A7390">
        <w:t>(s</w:t>
      </w:r>
      <w:r w:rsidRPr="00AE364B">
        <w:t>ometimes termed DCC ‘Direct Clinical Care’)</w:t>
      </w:r>
      <w:r>
        <w:rPr>
          <w:b/>
        </w:rPr>
        <w:t xml:space="preserve"> </w:t>
      </w:r>
      <w:r>
        <w:t xml:space="preserve">and 20% non-clinical </w:t>
      </w:r>
      <w:r w:rsidR="004A7390">
        <w:t xml:space="preserve">time </w:t>
      </w:r>
      <w:r w:rsidRPr="00AE364B">
        <w:t>(</w:t>
      </w:r>
      <w:r w:rsidR="004A7390">
        <w:t>s</w:t>
      </w:r>
      <w:r w:rsidRPr="00AE364B">
        <w:t xml:space="preserve">ometimes termed SPAs ‘Supporting Professional Activities’) </w:t>
      </w:r>
      <w:r>
        <w:t xml:space="preserve">to cover all aspects of the role. Services may wish to consider whether there are additional duties or service requirements which may alter this </w:t>
      </w:r>
      <w:proofErr w:type="gramStart"/>
      <w:r>
        <w:t>ratio,</w:t>
      </w:r>
      <w:proofErr w:type="gramEnd"/>
      <w:r>
        <w:t xml:space="preserve"> and this should be discussed on an individual basis backed up with a job description which reflects this deviation to the SVT recommendation.</w:t>
      </w:r>
      <w:r w:rsidR="004A7390">
        <w:t xml:space="preserve">  This may include roles where there are greater time req</w:t>
      </w:r>
      <w:r w:rsidR="00F414A8">
        <w:t>uirements for teaching or research for example</w:t>
      </w:r>
      <w:r w:rsidR="004A7390">
        <w:t>.</w:t>
      </w:r>
    </w:p>
    <w:p w:rsidR="0091576E" w:rsidRPr="00743A16" w:rsidRDefault="0091576E" w:rsidP="008965AF">
      <w:pPr>
        <w:jc w:val="both"/>
        <w:rPr>
          <w:b/>
        </w:rPr>
      </w:pPr>
      <w:r>
        <w:rPr>
          <w:b/>
        </w:rPr>
        <w:t xml:space="preserve">Suggested Clinical activities </w:t>
      </w:r>
      <w:r w:rsidRPr="00743A16">
        <w:rPr>
          <w:b/>
        </w:rPr>
        <w:t>include:</w:t>
      </w:r>
    </w:p>
    <w:p w:rsidR="0091576E" w:rsidRDefault="0091576E" w:rsidP="008965AF">
      <w:pPr>
        <w:pStyle w:val="ListParagraph"/>
        <w:numPr>
          <w:ilvl w:val="0"/>
          <w:numId w:val="1"/>
        </w:numPr>
        <w:jc w:val="both"/>
      </w:pPr>
      <w:r>
        <w:t xml:space="preserve">Diagnostic scans and tests (outpatients, inpatients, planned lists, emergency scans </w:t>
      </w:r>
      <w:proofErr w:type="spellStart"/>
      <w:r>
        <w:t>etc</w:t>
      </w:r>
      <w:proofErr w:type="spellEnd"/>
      <w:r>
        <w:t>)</w:t>
      </w:r>
    </w:p>
    <w:p w:rsidR="0091576E" w:rsidRDefault="0091576E" w:rsidP="008965AF">
      <w:pPr>
        <w:pStyle w:val="ListParagraph"/>
        <w:numPr>
          <w:ilvl w:val="0"/>
          <w:numId w:val="1"/>
        </w:numPr>
        <w:jc w:val="both"/>
      </w:pPr>
      <w:r>
        <w:t>Supervision of others performing diagnostic scans and tests</w:t>
      </w:r>
    </w:p>
    <w:p w:rsidR="0091576E" w:rsidRDefault="0091576E" w:rsidP="008965AF">
      <w:pPr>
        <w:pStyle w:val="ListParagraph"/>
        <w:numPr>
          <w:ilvl w:val="0"/>
          <w:numId w:val="1"/>
        </w:numPr>
        <w:jc w:val="both"/>
      </w:pPr>
      <w:r>
        <w:t>Undergoing own training performing diagnostic scans and tests</w:t>
      </w:r>
    </w:p>
    <w:p w:rsidR="0091576E" w:rsidRDefault="0091576E" w:rsidP="008965AF">
      <w:pPr>
        <w:pStyle w:val="ListParagraph"/>
        <w:numPr>
          <w:ilvl w:val="0"/>
          <w:numId w:val="1"/>
        </w:numPr>
        <w:jc w:val="both"/>
      </w:pPr>
      <w:r>
        <w:t>Observational assessment s of clinical practice</w:t>
      </w:r>
    </w:p>
    <w:p w:rsidR="0091576E" w:rsidRDefault="0091576E" w:rsidP="008965AF">
      <w:pPr>
        <w:pStyle w:val="ListParagraph"/>
        <w:numPr>
          <w:ilvl w:val="0"/>
          <w:numId w:val="1"/>
        </w:numPr>
        <w:jc w:val="both"/>
      </w:pPr>
      <w:r>
        <w:t>On-Call (or similar requirements)</w:t>
      </w:r>
    </w:p>
    <w:p w:rsidR="0091576E" w:rsidRPr="00743A16" w:rsidRDefault="0091576E" w:rsidP="008965AF">
      <w:pPr>
        <w:jc w:val="both"/>
        <w:rPr>
          <w:b/>
        </w:rPr>
      </w:pPr>
      <w:r w:rsidRPr="00743A16">
        <w:rPr>
          <w:b/>
        </w:rPr>
        <w:t>Suggested Non-Clinical activities include:</w:t>
      </w:r>
    </w:p>
    <w:p w:rsidR="0091576E" w:rsidRDefault="0091576E" w:rsidP="008965AF">
      <w:pPr>
        <w:pStyle w:val="ListParagraph"/>
        <w:numPr>
          <w:ilvl w:val="0"/>
          <w:numId w:val="2"/>
        </w:numPr>
        <w:jc w:val="both"/>
      </w:pPr>
      <w:r>
        <w:t>Mandatory training</w:t>
      </w:r>
    </w:p>
    <w:p w:rsidR="0091576E" w:rsidRDefault="0091576E" w:rsidP="008965AF">
      <w:pPr>
        <w:pStyle w:val="ListParagraph"/>
        <w:numPr>
          <w:ilvl w:val="0"/>
          <w:numId w:val="2"/>
        </w:numPr>
        <w:jc w:val="both"/>
      </w:pPr>
      <w:r>
        <w:t>Equipment QA &amp; safety assurance</w:t>
      </w:r>
    </w:p>
    <w:p w:rsidR="0091576E" w:rsidRDefault="0091576E" w:rsidP="008965AF">
      <w:pPr>
        <w:pStyle w:val="ListParagraph"/>
        <w:numPr>
          <w:ilvl w:val="0"/>
          <w:numId w:val="2"/>
        </w:numPr>
        <w:jc w:val="both"/>
      </w:pPr>
      <w:r>
        <w:t>Image and report auditing</w:t>
      </w:r>
    </w:p>
    <w:p w:rsidR="0091576E" w:rsidRDefault="0091576E" w:rsidP="008965AF">
      <w:pPr>
        <w:pStyle w:val="ListParagraph"/>
        <w:numPr>
          <w:ilvl w:val="0"/>
          <w:numId w:val="2"/>
        </w:numPr>
        <w:jc w:val="both"/>
      </w:pPr>
      <w:r>
        <w:t>Appraisals &amp; staff meetings</w:t>
      </w:r>
    </w:p>
    <w:p w:rsidR="0091576E" w:rsidRDefault="0091576E" w:rsidP="008965AF">
      <w:pPr>
        <w:pStyle w:val="ListParagraph"/>
        <w:numPr>
          <w:ilvl w:val="0"/>
          <w:numId w:val="2"/>
        </w:numPr>
        <w:jc w:val="both"/>
      </w:pPr>
      <w:r>
        <w:t>Teaching and training (attending or delivering, including internal &amp; external)</w:t>
      </w:r>
    </w:p>
    <w:p w:rsidR="0091576E" w:rsidRDefault="0091576E" w:rsidP="008965AF">
      <w:pPr>
        <w:pStyle w:val="ListParagraph"/>
        <w:numPr>
          <w:ilvl w:val="0"/>
          <w:numId w:val="2"/>
        </w:numPr>
        <w:jc w:val="both"/>
      </w:pPr>
      <w:r>
        <w:t>Research</w:t>
      </w:r>
    </w:p>
    <w:p w:rsidR="0091576E" w:rsidRDefault="0091576E" w:rsidP="008965AF">
      <w:pPr>
        <w:pStyle w:val="ListParagraph"/>
        <w:numPr>
          <w:ilvl w:val="0"/>
          <w:numId w:val="2"/>
        </w:numPr>
        <w:jc w:val="both"/>
      </w:pPr>
      <w:r>
        <w:t>Service Audits</w:t>
      </w:r>
    </w:p>
    <w:p w:rsidR="0091576E" w:rsidRDefault="0091576E" w:rsidP="008965AF">
      <w:pPr>
        <w:pStyle w:val="ListParagraph"/>
        <w:numPr>
          <w:ilvl w:val="0"/>
          <w:numId w:val="2"/>
        </w:numPr>
        <w:jc w:val="both"/>
      </w:pPr>
      <w:r>
        <w:t>Clinical Governance</w:t>
      </w:r>
    </w:p>
    <w:p w:rsidR="0091576E" w:rsidRDefault="0091576E" w:rsidP="008965AF">
      <w:pPr>
        <w:pStyle w:val="ListParagraph"/>
        <w:numPr>
          <w:ilvl w:val="0"/>
          <w:numId w:val="2"/>
        </w:numPr>
        <w:jc w:val="both"/>
      </w:pPr>
      <w:r>
        <w:t xml:space="preserve">Protocol development </w:t>
      </w:r>
    </w:p>
    <w:p w:rsidR="0091576E" w:rsidRDefault="0091576E" w:rsidP="008965AF">
      <w:pPr>
        <w:pStyle w:val="ListParagraph"/>
        <w:numPr>
          <w:ilvl w:val="0"/>
          <w:numId w:val="2"/>
        </w:numPr>
        <w:jc w:val="both"/>
      </w:pPr>
      <w:r>
        <w:t>Risk Assessments, COSHH, Incident management (</w:t>
      </w:r>
      <w:proofErr w:type="spellStart"/>
      <w:r>
        <w:t>Datix</w:t>
      </w:r>
      <w:proofErr w:type="spellEnd"/>
      <w:r>
        <w:t>)</w:t>
      </w:r>
    </w:p>
    <w:p w:rsidR="0091576E" w:rsidRDefault="0091576E" w:rsidP="008965AF">
      <w:pPr>
        <w:pStyle w:val="ListParagraph"/>
        <w:numPr>
          <w:ilvl w:val="0"/>
          <w:numId w:val="2"/>
        </w:numPr>
        <w:jc w:val="both"/>
      </w:pPr>
      <w:r>
        <w:t>CPD &amp; Professional updates</w:t>
      </w:r>
    </w:p>
    <w:p w:rsidR="0091576E" w:rsidRDefault="0091576E" w:rsidP="008965AF">
      <w:pPr>
        <w:pStyle w:val="ListParagraph"/>
        <w:numPr>
          <w:ilvl w:val="0"/>
          <w:numId w:val="2"/>
        </w:numPr>
        <w:jc w:val="both"/>
      </w:pPr>
      <w:r>
        <w:t xml:space="preserve">Service meetings (MDT’s, management </w:t>
      </w:r>
      <w:r w:rsidR="003C1FE5">
        <w:t xml:space="preserve">or team </w:t>
      </w:r>
      <w:r>
        <w:t xml:space="preserve">meetings </w:t>
      </w:r>
      <w:proofErr w:type="spellStart"/>
      <w:r>
        <w:t>etc</w:t>
      </w:r>
      <w:proofErr w:type="spellEnd"/>
      <w:r>
        <w:t>)</w:t>
      </w:r>
    </w:p>
    <w:p w:rsidR="0091576E" w:rsidRDefault="0091576E" w:rsidP="008965AF">
      <w:pPr>
        <w:pStyle w:val="ListParagraph"/>
        <w:numPr>
          <w:ilvl w:val="0"/>
          <w:numId w:val="2"/>
        </w:numPr>
        <w:jc w:val="both"/>
      </w:pPr>
      <w:r>
        <w:t>External meetings (</w:t>
      </w:r>
      <w:proofErr w:type="spellStart"/>
      <w:r>
        <w:t>eg</w:t>
      </w:r>
      <w:proofErr w:type="spellEnd"/>
      <w:r>
        <w:t xml:space="preserve"> Professional bodies, wider NHS)</w:t>
      </w:r>
    </w:p>
    <w:p w:rsidR="0091576E" w:rsidRDefault="0091576E" w:rsidP="008965AF">
      <w:pPr>
        <w:pStyle w:val="ListParagraph"/>
        <w:numPr>
          <w:ilvl w:val="0"/>
          <w:numId w:val="2"/>
        </w:numPr>
        <w:jc w:val="both"/>
      </w:pPr>
      <w:r>
        <w:t>Service administration (such as vetting referrals, report writing)</w:t>
      </w:r>
    </w:p>
    <w:p w:rsidR="0091576E" w:rsidRDefault="0091576E" w:rsidP="008965AF">
      <w:pPr>
        <w:pStyle w:val="ListParagraph"/>
        <w:numPr>
          <w:ilvl w:val="0"/>
          <w:numId w:val="2"/>
        </w:numPr>
        <w:jc w:val="both"/>
      </w:pPr>
      <w:r>
        <w:t>Service management</w:t>
      </w:r>
      <w:r w:rsidRPr="00617B18">
        <w:rPr>
          <w:b/>
        </w:rPr>
        <w:t>*</w:t>
      </w:r>
      <w:r>
        <w:t xml:space="preserve"> (this can encompass any aspect of service delivery such as staff rota, activity management, equipment management, health &amp; safety management, budget &amp; finance management)</w:t>
      </w:r>
    </w:p>
    <w:p w:rsidR="0091576E" w:rsidRDefault="0091576E" w:rsidP="008965AF">
      <w:pPr>
        <w:jc w:val="both"/>
      </w:pPr>
      <w:r>
        <w:t>*If service management is the main job role, the ratio of clinical versus non-clinical activity may include higher number of sessions for non-clinical activity.</w:t>
      </w:r>
    </w:p>
    <w:p w:rsidR="0091576E" w:rsidRDefault="008C4EB5" w:rsidP="008965AF">
      <w:pPr>
        <w:jc w:val="both"/>
      </w:pPr>
      <w:r>
        <w:t>Example Calcualtions</w:t>
      </w:r>
      <w:r w:rsidR="0091576E"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7"/>
        <w:gridCol w:w="912"/>
        <w:gridCol w:w="755"/>
        <w:gridCol w:w="824"/>
        <w:gridCol w:w="847"/>
        <w:gridCol w:w="946"/>
        <w:gridCol w:w="1007"/>
        <w:gridCol w:w="1210"/>
        <w:gridCol w:w="1051"/>
        <w:gridCol w:w="1013"/>
      </w:tblGrid>
      <w:tr w:rsidR="008A2C3E" w:rsidTr="00DE59A0">
        <w:tc>
          <w:tcPr>
            <w:tcW w:w="0" w:type="auto"/>
          </w:tcPr>
          <w:p w:rsidR="008A2C3E" w:rsidRPr="00CF1896" w:rsidRDefault="008A2C3E" w:rsidP="008965AF">
            <w:pPr>
              <w:jc w:val="both"/>
              <w:rPr>
                <w:sz w:val="12"/>
                <w:szCs w:val="12"/>
              </w:rPr>
            </w:pPr>
            <w:r w:rsidRPr="00CF1896">
              <w:rPr>
                <w:sz w:val="12"/>
                <w:szCs w:val="12"/>
              </w:rPr>
              <w:lastRenderedPageBreak/>
              <w:t>NHS Service</w:t>
            </w:r>
          </w:p>
        </w:tc>
        <w:tc>
          <w:tcPr>
            <w:tcW w:w="0" w:type="auto"/>
          </w:tcPr>
          <w:p w:rsidR="008A2C3E" w:rsidRPr="00CF1896" w:rsidRDefault="008A2C3E" w:rsidP="008965AF">
            <w:pPr>
              <w:jc w:val="both"/>
              <w:rPr>
                <w:sz w:val="12"/>
                <w:szCs w:val="12"/>
              </w:rPr>
            </w:pPr>
            <w:r w:rsidRPr="00CF1896">
              <w:rPr>
                <w:sz w:val="12"/>
                <w:szCs w:val="12"/>
              </w:rPr>
              <w:t>Full Time Hours</w:t>
            </w:r>
            <w:r>
              <w:rPr>
                <w:sz w:val="12"/>
                <w:szCs w:val="12"/>
              </w:rPr>
              <w:t xml:space="preserve"> per </w:t>
            </w:r>
            <w:r w:rsidRPr="00CF1896">
              <w:rPr>
                <w:sz w:val="12"/>
                <w:szCs w:val="12"/>
              </w:rPr>
              <w:t>week</w:t>
            </w:r>
            <w:r>
              <w:rPr>
                <w:sz w:val="12"/>
                <w:szCs w:val="12"/>
              </w:rPr>
              <w:t xml:space="preserve"> / year</w:t>
            </w:r>
          </w:p>
        </w:tc>
        <w:tc>
          <w:tcPr>
            <w:tcW w:w="0" w:type="auto"/>
          </w:tcPr>
          <w:p w:rsidR="008A2C3E" w:rsidRPr="00CF1896" w:rsidRDefault="008A2C3E" w:rsidP="008965AF">
            <w:pPr>
              <w:jc w:val="both"/>
              <w:rPr>
                <w:sz w:val="12"/>
                <w:szCs w:val="12"/>
              </w:rPr>
            </w:pPr>
            <w:r w:rsidRPr="00CF1896">
              <w:rPr>
                <w:sz w:val="12"/>
                <w:szCs w:val="12"/>
              </w:rPr>
              <w:t>Annual Leave Hours</w:t>
            </w:r>
            <w:r>
              <w:rPr>
                <w:sz w:val="12"/>
                <w:szCs w:val="12"/>
              </w:rPr>
              <w:t xml:space="preserve"> per </w:t>
            </w:r>
            <w:r w:rsidRPr="00CF1896">
              <w:rPr>
                <w:sz w:val="12"/>
                <w:szCs w:val="12"/>
              </w:rPr>
              <w:t>year</w:t>
            </w:r>
          </w:p>
        </w:tc>
        <w:tc>
          <w:tcPr>
            <w:tcW w:w="0" w:type="auto"/>
          </w:tcPr>
          <w:p w:rsidR="008A2C3E" w:rsidRDefault="008A2C3E" w:rsidP="008965AF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Annual Leave sessions</w:t>
            </w:r>
          </w:p>
          <w:p w:rsidR="008A2C3E" w:rsidRPr="00CF1896" w:rsidRDefault="008A2C3E" w:rsidP="008965AF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(1 week = 10 work sessions)</w:t>
            </w:r>
          </w:p>
        </w:tc>
        <w:tc>
          <w:tcPr>
            <w:tcW w:w="0" w:type="auto"/>
          </w:tcPr>
          <w:p w:rsidR="008A2C3E" w:rsidRPr="00CF1896" w:rsidRDefault="008A2C3E" w:rsidP="008965AF">
            <w:pPr>
              <w:jc w:val="both"/>
              <w:rPr>
                <w:sz w:val="12"/>
                <w:szCs w:val="12"/>
              </w:rPr>
            </w:pPr>
            <w:r w:rsidRPr="00CF1896">
              <w:rPr>
                <w:sz w:val="12"/>
                <w:szCs w:val="12"/>
              </w:rPr>
              <w:t>Working Hours/year</w:t>
            </w:r>
          </w:p>
        </w:tc>
        <w:tc>
          <w:tcPr>
            <w:tcW w:w="0" w:type="auto"/>
          </w:tcPr>
          <w:p w:rsidR="008A2C3E" w:rsidRPr="0026593C" w:rsidRDefault="008A2C3E" w:rsidP="00D07D7F">
            <w:pPr>
              <w:jc w:val="both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*</w:t>
            </w:r>
            <w:r w:rsidRPr="0026593C">
              <w:rPr>
                <w:color w:val="FF0000"/>
                <w:sz w:val="12"/>
                <w:szCs w:val="12"/>
              </w:rPr>
              <w:t>Need to deduct Bank Holidays</w:t>
            </w:r>
          </w:p>
          <w:p w:rsidR="008A2C3E" w:rsidRDefault="008A2C3E" w:rsidP="00D07D7F">
            <w:pPr>
              <w:jc w:val="both"/>
              <w:rPr>
                <w:color w:val="FF0000"/>
                <w:sz w:val="12"/>
                <w:szCs w:val="12"/>
              </w:rPr>
            </w:pPr>
            <w:r w:rsidRPr="0026593C">
              <w:rPr>
                <w:color w:val="FF0000"/>
                <w:sz w:val="12"/>
                <w:szCs w:val="12"/>
              </w:rPr>
              <w:t>Hours/year</w:t>
            </w:r>
          </w:p>
          <w:p w:rsidR="008A2C3E" w:rsidRPr="0026593C" w:rsidRDefault="008A2C3E" w:rsidP="00D07D7F">
            <w:pPr>
              <w:jc w:val="both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(7.5 hours = 2 sessions)</w:t>
            </w:r>
          </w:p>
        </w:tc>
        <w:tc>
          <w:tcPr>
            <w:tcW w:w="0" w:type="auto"/>
          </w:tcPr>
          <w:p w:rsidR="008A2C3E" w:rsidRPr="00CF1896" w:rsidRDefault="008A2C3E" w:rsidP="008965AF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80% Clinical Scan hours/weeks</w:t>
            </w:r>
          </w:p>
        </w:tc>
        <w:tc>
          <w:tcPr>
            <w:tcW w:w="0" w:type="auto"/>
          </w:tcPr>
          <w:p w:rsidR="008A2C3E" w:rsidRPr="00CF1896" w:rsidRDefault="008A2C3E" w:rsidP="008965AF">
            <w:pPr>
              <w:jc w:val="both"/>
              <w:rPr>
                <w:sz w:val="12"/>
                <w:szCs w:val="12"/>
              </w:rPr>
            </w:pPr>
            <w:r w:rsidRPr="00CF1896">
              <w:rPr>
                <w:sz w:val="12"/>
                <w:szCs w:val="12"/>
              </w:rPr>
              <w:t xml:space="preserve">Clinical Sessions/year </w:t>
            </w:r>
            <w:r>
              <w:rPr>
                <w:sz w:val="12"/>
                <w:szCs w:val="12"/>
              </w:rPr>
              <w:t>(1 week = 10 work sessions)</w:t>
            </w:r>
          </w:p>
        </w:tc>
        <w:tc>
          <w:tcPr>
            <w:tcW w:w="0" w:type="auto"/>
          </w:tcPr>
          <w:p w:rsidR="008A2C3E" w:rsidRPr="00CF1896" w:rsidRDefault="008A2C3E" w:rsidP="008965AF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20% Non-Clinical Scan hours/weeks</w:t>
            </w:r>
          </w:p>
        </w:tc>
        <w:tc>
          <w:tcPr>
            <w:tcW w:w="0" w:type="auto"/>
          </w:tcPr>
          <w:p w:rsidR="008A2C3E" w:rsidRPr="00CF1896" w:rsidRDefault="008A2C3E" w:rsidP="008965AF">
            <w:pPr>
              <w:jc w:val="both"/>
              <w:rPr>
                <w:sz w:val="12"/>
                <w:szCs w:val="12"/>
              </w:rPr>
            </w:pPr>
            <w:r w:rsidRPr="00CF1896">
              <w:rPr>
                <w:sz w:val="12"/>
                <w:szCs w:val="12"/>
              </w:rPr>
              <w:t>Non-Clinical Sessions/year</w:t>
            </w:r>
          </w:p>
          <w:p w:rsidR="008A2C3E" w:rsidRPr="00CF1896" w:rsidRDefault="008A2C3E" w:rsidP="008965AF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(1 week = 10 work sessions)</w:t>
            </w:r>
          </w:p>
        </w:tc>
      </w:tr>
      <w:tr w:rsidR="008A2C3E" w:rsidTr="00DE59A0">
        <w:tc>
          <w:tcPr>
            <w:tcW w:w="0" w:type="auto"/>
          </w:tcPr>
          <w:p w:rsidR="008A2C3E" w:rsidRDefault="008A2C3E" w:rsidP="008965AF">
            <w:pPr>
              <w:jc w:val="both"/>
              <w:rPr>
                <w:sz w:val="12"/>
                <w:szCs w:val="12"/>
              </w:rPr>
            </w:pPr>
            <w:r w:rsidRPr="00CF1896">
              <w:rPr>
                <w:sz w:val="12"/>
                <w:szCs w:val="12"/>
              </w:rPr>
              <w:t>Less than 5 years</w:t>
            </w:r>
          </w:p>
          <w:p w:rsidR="008A2C3E" w:rsidRPr="00CF1896" w:rsidRDefault="008A2C3E" w:rsidP="008965AF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8A2C3E" w:rsidRPr="00CF1896" w:rsidRDefault="008A2C3E" w:rsidP="008965AF">
            <w:pPr>
              <w:jc w:val="both"/>
              <w:rPr>
                <w:sz w:val="12"/>
                <w:szCs w:val="12"/>
              </w:rPr>
            </w:pPr>
            <w:r w:rsidRPr="00CF1896">
              <w:rPr>
                <w:sz w:val="12"/>
                <w:szCs w:val="12"/>
              </w:rPr>
              <w:t>37.5</w:t>
            </w:r>
            <w:r>
              <w:rPr>
                <w:sz w:val="12"/>
                <w:szCs w:val="12"/>
              </w:rPr>
              <w:t>/</w:t>
            </w:r>
            <w:r w:rsidRPr="00CF1896">
              <w:rPr>
                <w:sz w:val="12"/>
                <w:szCs w:val="12"/>
              </w:rPr>
              <w:t>1950</w:t>
            </w:r>
          </w:p>
        </w:tc>
        <w:tc>
          <w:tcPr>
            <w:tcW w:w="0" w:type="auto"/>
          </w:tcPr>
          <w:p w:rsidR="008A2C3E" w:rsidRPr="00CF1896" w:rsidRDefault="008A2C3E" w:rsidP="008965AF">
            <w:pPr>
              <w:jc w:val="both"/>
              <w:rPr>
                <w:sz w:val="12"/>
                <w:szCs w:val="12"/>
              </w:rPr>
            </w:pPr>
            <w:r w:rsidRPr="00CF1896">
              <w:rPr>
                <w:sz w:val="12"/>
                <w:szCs w:val="12"/>
              </w:rPr>
              <w:t>202.5</w:t>
            </w:r>
            <w:r>
              <w:rPr>
                <w:sz w:val="12"/>
                <w:szCs w:val="12"/>
              </w:rPr>
              <w:t xml:space="preserve"> (5.4 weeks)</w:t>
            </w:r>
          </w:p>
        </w:tc>
        <w:tc>
          <w:tcPr>
            <w:tcW w:w="0" w:type="auto"/>
          </w:tcPr>
          <w:p w:rsidR="008A2C3E" w:rsidRPr="00CF1896" w:rsidRDefault="008A2C3E" w:rsidP="008965AF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</w:t>
            </w:r>
          </w:p>
        </w:tc>
        <w:tc>
          <w:tcPr>
            <w:tcW w:w="0" w:type="auto"/>
          </w:tcPr>
          <w:p w:rsidR="008A2C3E" w:rsidRDefault="008A2C3E" w:rsidP="008965AF">
            <w:pPr>
              <w:jc w:val="both"/>
              <w:rPr>
                <w:sz w:val="12"/>
                <w:szCs w:val="12"/>
              </w:rPr>
            </w:pPr>
            <w:r w:rsidRPr="00CF1896">
              <w:rPr>
                <w:sz w:val="12"/>
                <w:szCs w:val="12"/>
              </w:rPr>
              <w:t>1747.5</w:t>
            </w:r>
          </w:p>
          <w:p w:rsidR="008A2C3E" w:rsidRPr="00CF1896" w:rsidRDefault="008A2C3E" w:rsidP="008965AF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(46.6 weeks)</w:t>
            </w:r>
          </w:p>
        </w:tc>
        <w:tc>
          <w:tcPr>
            <w:tcW w:w="0" w:type="auto"/>
          </w:tcPr>
          <w:p w:rsidR="008A2C3E" w:rsidRDefault="008A2C3E" w:rsidP="00D07D7F">
            <w:pPr>
              <w:jc w:val="both"/>
              <w:rPr>
                <w:color w:val="FF0000"/>
                <w:sz w:val="12"/>
                <w:szCs w:val="12"/>
              </w:rPr>
            </w:pPr>
            <w:r w:rsidRPr="0026593C">
              <w:rPr>
                <w:color w:val="FF0000"/>
                <w:sz w:val="12"/>
                <w:szCs w:val="12"/>
              </w:rPr>
              <w:t xml:space="preserve">7.5 </w:t>
            </w:r>
            <w:proofErr w:type="gramStart"/>
            <w:r w:rsidRPr="0026593C">
              <w:rPr>
                <w:color w:val="FF0000"/>
                <w:sz w:val="12"/>
                <w:szCs w:val="12"/>
              </w:rPr>
              <w:t>x ?</w:t>
            </w:r>
            <w:proofErr w:type="gramEnd"/>
          </w:p>
          <w:p w:rsidR="008A2C3E" w:rsidRPr="0026593C" w:rsidRDefault="008A2C3E" w:rsidP="00D07D7F">
            <w:pPr>
              <w:jc w:val="both"/>
              <w:rPr>
                <w:color w:val="FF0000"/>
                <w:sz w:val="12"/>
                <w:szCs w:val="12"/>
              </w:rPr>
            </w:pPr>
          </w:p>
        </w:tc>
        <w:tc>
          <w:tcPr>
            <w:tcW w:w="0" w:type="auto"/>
          </w:tcPr>
          <w:p w:rsidR="008A2C3E" w:rsidRPr="00CF1896" w:rsidRDefault="008A2C3E" w:rsidP="008965AF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1398 (37.28 weeks)</w:t>
            </w:r>
          </w:p>
        </w:tc>
        <w:tc>
          <w:tcPr>
            <w:tcW w:w="0" w:type="auto"/>
          </w:tcPr>
          <w:p w:rsidR="008A2C3E" w:rsidRPr="00CF1896" w:rsidRDefault="008A2C3E" w:rsidP="008965AF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373</w:t>
            </w:r>
            <w:r w:rsidRPr="008A2C3E">
              <w:rPr>
                <w:color w:val="FF0000"/>
                <w:sz w:val="12"/>
                <w:szCs w:val="12"/>
              </w:rPr>
              <w:t>*</w:t>
            </w:r>
          </w:p>
        </w:tc>
        <w:tc>
          <w:tcPr>
            <w:tcW w:w="0" w:type="auto"/>
          </w:tcPr>
          <w:p w:rsidR="008A2C3E" w:rsidRDefault="008A2C3E" w:rsidP="008965AF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349.5 (9.32 weeks)</w:t>
            </w:r>
          </w:p>
        </w:tc>
        <w:tc>
          <w:tcPr>
            <w:tcW w:w="0" w:type="auto"/>
          </w:tcPr>
          <w:p w:rsidR="008A2C3E" w:rsidRPr="00CF1896" w:rsidRDefault="008A2C3E" w:rsidP="008965AF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</w:t>
            </w:r>
            <w:r w:rsidRPr="008A2C3E">
              <w:rPr>
                <w:color w:val="FF0000"/>
                <w:sz w:val="12"/>
                <w:szCs w:val="12"/>
              </w:rPr>
              <w:t>*</w:t>
            </w:r>
          </w:p>
        </w:tc>
      </w:tr>
      <w:tr w:rsidR="008A2C3E" w:rsidTr="00DE59A0">
        <w:tc>
          <w:tcPr>
            <w:tcW w:w="0" w:type="auto"/>
          </w:tcPr>
          <w:p w:rsidR="008A2C3E" w:rsidRPr="00CF1896" w:rsidRDefault="008A2C3E" w:rsidP="008965AF">
            <w:pPr>
              <w:jc w:val="both"/>
              <w:rPr>
                <w:sz w:val="12"/>
                <w:szCs w:val="12"/>
              </w:rPr>
            </w:pPr>
            <w:r w:rsidRPr="00CF1896">
              <w:rPr>
                <w:sz w:val="12"/>
                <w:szCs w:val="12"/>
              </w:rPr>
              <w:t>More than 5 years</w:t>
            </w:r>
          </w:p>
        </w:tc>
        <w:tc>
          <w:tcPr>
            <w:tcW w:w="0" w:type="auto"/>
          </w:tcPr>
          <w:p w:rsidR="008A2C3E" w:rsidRPr="00CF1896" w:rsidRDefault="008A2C3E" w:rsidP="008965AF">
            <w:pPr>
              <w:jc w:val="both"/>
              <w:rPr>
                <w:sz w:val="12"/>
                <w:szCs w:val="12"/>
              </w:rPr>
            </w:pPr>
            <w:r w:rsidRPr="00CF1896">
              <w:rPr>
                <w:sz w:val="12"/>
                <w:szCs w:val="12"/>
              </w:rPr>
              <w:t>37.5</w:t>
            </w:r>
            <w:r>
              <w:rPr>
                <w:sz w:val="12"/>
                <w:szCs w:val="12"/>
              </w:rPr>
              <w:t>/</w:t>
            </w:r>
            <w:r w:rsidRPr="00CF1896">
              <w:rPr>
                <w:sz w:val="12"/>
                <w:szCs w:val="12"/>
              </w:rPr>
              <w:t>1950</w:t>
            </w:r>
          </w:p>
        </w:tc>
        <w:tc>
          <w:tcPr>
            <w:tcW w:w="0" w:type="auto"/>
          </w:tcPr>
          <w:p w:rsidR="008A2C3E" w:rsidRPr="00CF1896" w:rsidRDefault="008A2C3E" w:rsidP="008965AF">
            <w:pPr>
              <w:jc w:val="both"/>
              <w:rPr>
                <w:sz w:val="12"/>
                <w:szCs w:val="12"/>
              </w:rPr>
            </w:pPr>
            <w:r w:rsidRPr="00CF1896">
              <w:rPr>
                <w:sz w:val="12"/>
                <w:szCs w:val="12"/>
              </w:rPr>
              <w:t>217.5</w:t>
            </w:r>
            <w:r>
              <w:rPr>
                <w:sz w:val="12"/>
                <w:szCs w:val="12"/>
              </w:rPr>
              <w:t xml:space="preserve"> (5.8 weeks)</w:t>
            </w:r>
          </w:p>
        </w:tc>
        <w:tc>
          <w:tcPr>
            <w:tcW w:w="0" w:type="auto"/>
          </w:tcPr>
          <w:p w:rsidR="008A2C3E" w:rsidRPr="00CF1896" w:rsidRDefault="008A2C3E" w:rsidP="008965AF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</w:t>
            </w:r>
          </w:p>
        </w:tc>
        <w:tc>
          <w:tcPr>
            <w:tcW w:w="0" w:type="auto"/>
          </w:tcPr>
          <w:p w:rsidR="008A2C3E" w:rsidRPr="00CF1896" w:rsidRDefault="008A2C3E" w:rsidP="008965AF">
            <w:pPr>
              <w:jc w:val="both"/>
              <w:rPr>
                <w:sz w:val="12"/>
                <w:szCs w:val="12"/>
              </w:rPr>
            </w:pPr>
            <w:r w:rsidRPr="00CF1896">
              <w:rPr>
                <w:sz w:val="12"/>
                <w:szCs w:val="12"/>
              </w:rPr>
              <w:t>1732.5</w:t>
            </w:r>
            <w:r>
              <w:rPr>
                <w:sz w:val="12"/>
                <w:szCs w:val="12"/>
              </w:rPr>
              <w:t xml:space="preserve"> (46.2 weeks)</w:t>
            </w:r>
          </w:p>
        </w:tc>
        <w:tc>
          <w:tcPr>
            <w:tcW w:w="0" w:type="auto"/>
          </w:tcPr>
          <w:p w:rsidR="008A2C3E" w:rsidRPr="0026593C" w:rsidRDefault="008A2C3E" w:rsidP="00D07D7F">
            <w:pPr>
              <w:jc w:val="both"/>
              <w:rPr>
                <w:color w:val="FF0000"/>
                <w:sz w:val="12"/>
                <w:szCs w:val="12"/>
              </w:rPr>
            </w:pPr>
            <w:r w:rsidRPr="0026593C">
              <w:rPr>
                <w:color w:val="FF0000"/>
                <w:sz w:val="12"/>
                <w:szCs w:val="12"/>
              </w:rPr>
              <w:t xml:space="preserve">7.5 </w:t>
            </w:r>
            <w:proofErr w:type="gramStart"/>
            <w:r w:rsidRPr="0026593C">
              <w:rPr>
                <w:color w:val="FF0000"/>
                <w:sz w:val="12"/>
                <w:szCs w:val="12"/>
              </w:rPr>
              <w:t>x ?</w:t>
            </w:r>
            <w:proofErr w:type="gramEnd"/>
          </w:p>
        </w:tc>
        <w:tc>
          <w:tcPr>
            <w:tcW w:w="0" w:type="auto"/>
          </w:tcPr>
          <w:p w:rsidR="008A2C3E" w:rsidRPr="00CF1896" w:rsidRDefault="008A2C3E" w:rsidP="008965AF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1386 (36.96 weeks)</w:t>
            </w:r>
          </w:p>
        </w:tc>
        <w:tc>
          <w:tcPr>
            <w:tcW w:w="0" w:type="auto"/>
          </w:tcPr>
          <w:p w:rsidR="008A2C3E" w:rsidRPr="00CF1896" w:rsidRDefault="008A2C3E" w:rsidP="008965AF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370</w:t>
            </w:r>
            <w:r w:rsidRPr="008A2C3E">
              <w:rPr>
                <w:color w:val="FF0000"/>
                <w:sz w:val="12"/>
                <w:szCs w:val="12"/>
              </w:rPr>
              <w:t>*</w:t>
            </w:r>
          </w:p>
        </w:tc>
        <w:tc>
          <w:tcPr>
            <w:tcW w:w="0" w:type="auto"/>
          </w:tcPr>
          <w:p w:rsidR="008A2C3E" w:rsidRPr="00CF1896" w:rsidRDefault="008A2C3E" w:rsidP="008965AF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346.5 (9.24 weeks)</w:t>
            </w:r>
          </w:p>
        </w:tc>
        <w:tc>
          <w:tcPr>
            <w:tcW w:w="0" w:type="auto"/>
          </w:tcPr>
          <w:p w:rsidR="008A2C3E" w:rsidRPr="00CF1896" w:rsidRDefault="008A2C3E" w:rsidP="008965AF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</w:t>
            </w:r>
            <w:r w:rsidRPr="008A2C3E">
              <w:rPr>
                <w:color w:val="FF0000"/>
                <w:sz w:val="12"/>
                <w:szCs w:val="12"/>
              </w:rPr>
              <w:t>*</w:t>
            </w:r>
          </w:p>
        </w:tc>
      </w:tr>
      <w:tr w:rsidR="008A2C3E" w:rsidTr="00DE59A0">
        <w:tc>
          <w:tcPr>
            <w:tcW w:w="0" w:type="auto"/>
          </w:tcPr>
          <w:p w:rsidR="008A2C3E" w:rsidRPr="00CF1896" w:rsidRDefault="008A2C3E" w:rsidP="008965AF">
            <w:pPr>
              <w:jc w:val="both"/>
              <w:rPr>
                <w:sz w:val="12"/>
                <w:szCs w:val="12"/>
              </w:rPr>
            </w:pPr>
            <w:r w:rsidRPr="00CF1896">
              <w:rPr>
                <w:sz w:val="12"/>
                <w:szCs w:val="12"/>
              </w:rPr>
              <w:t>More than 10 years</w:t>
            </w:r>
          </w:p>
        </w:tc>
        <w:tc>
          <w:tcPr>
            <w:tcW w:w="0" w:type="auto"/>
          </w:tcPr>
          <w:p w:rsidR="008A2C3E" w:rsidRPr="00CF1896" w:rsidRDefault="008A2C3E" w:rsidP="008965AF">
            <w:pPr>
              <w:jc w:val="both"/>
              <w:rPr>
                <w:sz w:val="12"/>
                <w:szCs w:val="12"/>
              </w:rPr>
            </w:pPr>
            <w:r w:rsidRPr="00CF1896">
              <w:rPr>
                <w:sz w:val="12"/>
                <w:szCs w:val="12"/>
              </w:rPr>
              <w:t>37.5</w:t>
            </w:r>
            <w:r>
              <w:rPr>
                <w:sz w:val="12"/>
                <w:szCs w:val="12"/>
              </w:rPr>
              <w:t>/</w:t>
            </w:r>
            <w:r w:rsidRPr="00CF1896">
              <w:rPr>
                <w:sz w:val="12"/>
                <w:szCs w:val="12"/>
              </w:rPr>
              <w:t>1950</w:t>
            </w:r>
          </w:p>
        </w:tc>
        <w:tc>
          <w:tcPr>
            <w:tcW w:w="0" w:type="auto"/>
          </w:tcPr>
          <w:p w:rsidR="008A2C3E" w:rsidRPr="00CF1896" w:rsidRDefault="008A2C3E" w:rsidP="008965AF">
            <w:pPr>
              <w:jc w:val="both"/>
              <w:rPr>
                <w:sz w:val="12"/>
                <w:szCs w:val="12"/>
              </w:rPr>
            </w:pPr>
            <w:r w:rsidRPr="00CF1896">
              <w:rPr>
                <w:sz w:val="12"/>
                <w:szCs w:val="12"/>
              </w:rPr>
              <w:t>247.5</w:t>
            </w:r>
            <w:r>
              <w:rPr>
                <w:sz w:val="12"/>
                <w:szCs w:val="12"/>
              </w:rPr>
              <w:t xml:space="preserve"> (6.6 weeks)</w:t>
            </w:r>
          </w:p>
        </w:tc>
        <w:tc>
          <w:tcPr>
            <w:tcW w:w="0" w:type="auto"/>
          </w:tcPr>
          <w:p w:rsidR="008A2C3E" w:rsidRPr="00CF1896" w:rsidRDefault="008A2C3E" w:rsidP="008965AF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</w:t>
            </w:r>
          </w:p>
        </w:tc>
        <w:tc>
          <w:tcPr>
            <w:tcW w:w="0" w:type="auto"/>
          </w:tcPr>
          <w:p w:rsidR="008A2C3E" w:rsidRPr="00CF1896" w:rsidRDefault="008A2C3E" w:rsidP="008965AF">
            <w:pPr>
              <w:jc w:val="both"/>
              <w:rPr>
                <w:sz w:val="12"/>
                <w:szCs w:val="12"/>
              </w:rPr>
            </w:pPr>
            <w:r w:rsidRPr="00CF1896">
              <w:rPr>
                <w:sz w:val="12"/>
                <w:szCs w:val="12"/>
              </w:rPr>
              <w:t>1702.5</w:t>
            </w:r>
            <w:r>
              <w:rPr>
                <w:sz w:val="12"/>
                <w:szCs w:val="12"/>
              </w:rPr>
              <w:t xml:space="preserve"> (45.4 weeks)</w:t>
            </w:r>
          </w:p>
        </w:tc>
        <w:tc>
          <w:tcPr>
            <w:tcW w:w="0" w:type="auto"/>
          </w:tcPr>
          <w:p w:rsidR="008A2C3E" w:rsidRPr="0026593C" w:rsidRDefault="008A2C3E" w:rsidP="00D07D7F">
            <w:pPr>
              <w:jc w:val="both"/>
              <w:rPr>
                <w:color w:val="FF0000"/>
                <w:sz w:val="12"/>
                <w:szCs w:val="12"/>
              </w:rPr>
            </w:pPr>
            <w:r w:rsidRPr="0026593C">
              <w:rPr>
                <w:color w:val="FF0000"/>
                <w:sz w:val="12"/>
                <w:szCs w:val="12"/>
              </w:rPr>
              <w:t xml:space="preserve">7.5 </w:t>
            </w:r>
            <w:proofErr w:type="gramStart"/>
            <w:r w:rsidRPr="0026593C">
              <w:rPr>
                <w:color w:val="FF0000"/>
                <w:sz w:val="12"/>
                <w:szCs w:val="12"/>
              </w:rPr>
              <w:t>x ?</w:t>
            </w:r>
            <w:proofErr w:type="gramEnd"/>
          </w:p>
        </w:tc>
        <w:tc>
          <w:tcPr>
            <w:tcW w:w="0" w:type="auto"/>
          </w:tcPr>
          <w:p w:rsidR="008A2C3E" w:rsidRPr="00CF1896" w:rsidRDefault="008A2C3E" w:rsidP="008965AF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1362 (36.32 weeks)</w:t>
            </w:r>
          </w:p>
        </w:tc>
        <w:tc>
          <w:tcPr>
            <w:tcW w:w="0" w:type="auto"/>
          </w:tcPr>
          <w:p w:rsidR="008A2C3E" w:rsidRPr="00CF1896" w:rsidRDefault="008A2C3E" w:rsidP="008965AF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363</w:t>
            </w:r>
            <w:r w:rsidRPr="008A2C3E">
              <w:rPr>
                <w:color w:val="FF0000"/>
                <w:sz w:val="12"/>
                <w:szCs w:val="12"/>
              </w:rPr>
              <w:t>*</w:t>
            </w:r>
          </w:p>
        </w:tc>
        <w:tc>
          <w:tcPr>
            <w:tcW w:w="0" w:type="auto"/>
          </w:tcPr>
          <w:p w:rsidR="008A2C3E" w:rsidRPr="00CF1896" w:rsidRDefault="008A2C3E" w:rsidP="008965AF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340.5 (9.08 weeks)</w:t>
            </w:r>
          </w:p>
        </w:tc>
        <w:tc>
          <w:tcPr>
            <w:tcW w:w="0" w:type="auto"/>
          </w:tcPr>
          <w:p w:rsidR="008A2C3E" w:rsidRPr="00CF1896" w:rsidRDefault="008A2C3E" w:rsidP="008965AF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</w:t>
            </w:r>
            <w:r w:rsidRPr="008A2C3E">
              <w:rPr>
                <w:color w:val="FF0000"/>
                <w:sz w:val="12"/>
                <w:szCs w:val="12"/>
              </w:rPr>
              <w:t>*</w:t>
            </w:r>
          </w:p>
        </w:tc>
      </w:tr>
    </w:tbl>
    <w:p w:rsidR="0091576E" w:rsidRDefault="0091576E" w:rsidP="008965AF">
      <w:pPr>
        <w:jc w:val="both"/>
      </w:pPr>
      <w:bookmarkStart w:id="0" w:name="_GoBack"/>
      <w:bookmarkEnd w:id="0"/>
    </w:p>
    <w:p w:rsidR="00EB099D" w:rsidRDefault="00EB099D" w:rsidP="008965AF">
      <w:pPr>
        <w:jc w:val="both"/>
      </w:pPr>
    </w:p>
    <w:p w:rsidR="008965AF" w:rsidRDefault="008965AF">
      <w:pPr>
        <w:jc w:val="both"/>
      </w:pPr>
    </w:p>
    <w:sectPr w:rsidR="008965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351C1"/>
    <w:multiLevelType w:val="hybridMultilevel"/>
    <w:tmpl w:val="59824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E1238D"/>
    <w:multiLevelType w:val="hybridMultilevel"/>
    <w:tmpl w:val="027A5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76E"/>
    <w:rsid w:val="003C1FE5"/>
    <w:rsid w:val="004004DB"/>
    <w:rsid w:val="004A7390"/>
    <w:rsid w:val="00617B18"/>
    <w:rsid w:val="008965AF"/>
    <w:rsid w:val="008A2C3E"/>
    <w:rsid w:val="008C4EB5"/>
    <w:rsid w:val="0091576E"/>
    <w:rsid w:val="00D23E5B"/>
    <w:rsid w:val="00EB099D"/>
    <w:rsid w:val="00F4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76E"/>
    <w:pPr>
      <w:ind w:left="720"/>
      <w:contextualSpacing/>
    </w:pPr>
  </w:style>
  <w:style w:type="table" w:styleId="TableGrid">
    <w:name w:val="Table Grid"/>
    <w:basedOn w:val="TableNormal"/>
    <w:uiPriority w:val="59"/>
    <w:rsid w:val="00915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76E"/>
    <w:pPr>
      <w:ind w:left="720"/>
      <w:contextualSpacing/>
    </w:pPr>
  </w:style>
  <w:style w:type="table" w:styleId="TableGrid">
    <w:name w:val="Table Grid"/>
    <w:basedOn w:val="TableNormal"/>
    <w:uiPriority w:val="59"/>
    <w:rsid w:val="00915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Of Leicester NHS Trust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 Joanne - Chief Clinical Vascular Scientist</dc:creator>
  <cp:lastModifiedBy>Walker Joanne - Chief Clinical Vascular Scientist</cp:lastModifiedBy>
  <cp:revision>9</cp:revision>
  <dcterms:created xsi:type="dcterms:W3CDTF">2023-04-20T14:20:00Z</dcterms:created>
  <dcterms:modified xsi:type="dcterms:W3CDTF">2023-07-06T13:55:00Z</dcterms:modified>
</cp:coreProperties>
</file>