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sz w:val="36"/>
          <w:szCs w:val="36"/>
          <w:u w:val="single"/>
        </w:rPr>
      </w:pPr>
      <w:r w:rsidDel="00000000" w:rsidR="00000000" w:rsidRPr="00000000">
        <w:rPr>
          <w:rFonts w:ascii="Cambria" w:cs="Cambria" w:eastAsia="Cambria" w:hAnsi="Cambria"/>
          <w:sz w:val="36"/>
          <w:szCs w:val="36"/>
          <w:u w:val="single"/>
          <w:rtl w:val="0"/>
        </w:rPr>
        <w:t xml:space="preserve">SVTGBI Terms &amp; Conditions</w:t>
      </w:r>
    </w:p>
    <w:p w:rsidR="00000000" w:rsidDel="00000000" w:rsidP="00000000" w:rsidRDefault="00000000" w:rsidRPr="00000000" w14:paraId="00000002">
      <w:pPr>
        <w:pStyle w:val="Heading5"/>
        <w:spacing w:after="0" w:lineRule="auto"/>
        <w:jc w:val="both"/>
        <w:rPr>
          <w:rFonts w:ascii="Calibri" w:cs="Calibri" w:eastAsia="Calibri" w:hAnsi="Calibri"/>
          <w:b w:val="0"/>
          <w:i w:val="0"/>
          <w:sz w:val="24"/>
          <w:szCs w:val="24"/>
        </w:rPr>
      </w:pPr>
      <w:r w:rsidDel="00000000" w:rsidR="00000000" w:rsidRPr="00000000">
        <w:rPr>
          <w:rFonts w:ascii="Calibri" w:cs="Calibri" w:eastAsia="Calibri" w:hAnsi="Calibri"/>
          <w:b w:val="0"/>
          <w:i w:val="0"/>
          <w:sz w:val="24"/>
          <w:szCs w:val="24"/>
          <w:rtl w:val="0"/>
        </w:rPr>
        <w:t xml:space="preserve">These terms and conditions apply to all awards given by the Society for Vascular Technology of Great Britain and Ireland (SVTGBI), whose registered office is Margaret Powell House, 405 Midsummer Boulevard, Milton Keynes, MK9 3BN and whose Registered Charity Number is 1080367, and will apply to and be deemed to form part of any agreement under which the SVTGBI provides funding to any third party for the carrying out of any research or other work.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is subject to the following:</w:t>
      </w:r>
    </w:p>
    <w:p w:rsidR="00000000" w:rsidDel="00000000" w:rsidP="00000000" w:rsidRDefault="00000000" w:rsidRPr="00000000" w14:paraId="00000005">
      <w:pP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Acknowledgement of SVTGBI support must be made in all publications</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 papers, oral presentations or posters resulting from work concerned. We expect your research to be published in a peer-reviewed publication. Please provide a full list of publications/abstracts/oral presentations/posters arising from the grant with copies of all publications to the SVTGBI for display on the Society website.</w:t>
      </w:r>
    </w:p>
    <w:p w:rsidR="00000000" w:rsidDel="00000000" w:rsidP="00000000" w:rsidRDefault="00000000" w:rsidRPr="00000000" w14:paraId="00000007">
      <w:pPr>
        <w:spacing w:after="0" w:line="240" w:lineRule="auto"/>
        <w:ind w:left="42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numPr>
          <w:ilvl w:val="0"/>
          <w:numId w:val="1"/>
        </w:num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awardee of any grant made by the SVTGBI will be expected to present their findings at the next Annual Scientific Meeting and write an article summating their research for the SVTGBI newsletter.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also provide a brief progress and lay report (not more than 500 words) for the SVTGBI annually following funding being awarded. </w:t>
      </w:r>
    </w:p>
    <w:p w:rsidR="00000000" w:rsidDel="00000000" w:rsidP="00000000" w:rsidRDefault="00000000" w:rsidRPr="00000000" w14:paraId="0000000B">
      <w:pPr>
        <w:spacing w:after="0" w:line="240" w:lineRule="auto"/>
        <w:ind w:left="42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Agreement to all appropriate publicity. A full detailed report should be submitted at the end of the project in the form of a scientific paper if not published.</w:t>
      </w:r>
    </w:p>
    <w:p w:rsidR="00000000" w:rsidDel="00000000" w:rsidP="00000000" w:rsidRDefault="00000000" w:rsidRPr="00000000" w14:paraId="0000000D">
      <w:pPr>
        <w:spacing w:after="0" w:line="240" w:lineRule="auto"/>
        <w:ind w:left="42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agree to potential visits by the research committee, executive committee or other SVTGBI nominated representative.  </w:t>
      </w:r>
    </w:p>
    <w:p w:rsidR="00000000" w:rsidDel="00000000" w:rsidP="00000000" w:rsidRDefault="00000000" w:rsidRPr="00000000" w14:paraId="0000000F">
      <w:pPr>
        <w:spacing w:after="0" w:line="240" w:lineRule="auto"/>
        <w:ind w:left="42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numPr>
          <w:ilvl w:val="0"/>
          <w:numId w:val="1"/>
        </w:numPr>
        <w:tabs>
          <w:tab w:val="left" w:pos="426"/>
        </w:tabs>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award will be paid in one annual lump sum upon receipt of satisfactory arrangements.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0"/>
          <w:numId w:val="1"/>
        </w:numPr>
        <w:tabs>
          <w:tab w:val="left" w:pos="426"/>
        </w:tabs>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research ethics committee and HRA approval should be obtained for the project along with compliance and capability approval from host R&amp;D prior to monies being paid. Formal approval letters must be provided to the committee before monies will be released. You can apply before you have approval.</w:t>
      </w:r>
    </w:p>
    <w:p w:rsidR="00000000" w:rsidDel="00000000" w:rsidP="00000000" w:rsidRDefault="00000000" w:rsidRPr="00000000" w14:paraId="00000013">
      <w:pPr>
        <w:tabs>
          <w:tab w:val="left" w:pos="426"/>
        </w:tabs>
        <w:spacing w:after="0" w:line="240" w:lineRule="auto"/>
        <w:ind w:left="42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research project involves animal experimentation, the award will only be made subject to the granting of appropriate licences under the terms of the Animals (Scientific Procedures) Act 1986, authorising the proposed experiments.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clear with regard to university funding, that the SVTGBI will not fund research on a percentage basis.  The SVTGBI will continue to pay for the directly incurred and identifiable costs of research, but do not consider it appropriate for them to fund university indirect costs or to be required to cover some of the other costs, such as supervisor salaries or estate costs.</w:t>
      </w:r>
    </w:p>
    <w:p w:rsidR="00000000" w:rsidDel="00000000" w:rsidP="00000000" w:rsidRDefault="00000000" w:rsidRPr="00000000" w14:paraId="00000017">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costs of staff working full or part-time on a project, and the cost of identified items needed for the carrying out of research such as laboratory or clinical consumables, field work costs, capital and equipment costs are covered by and classified as directly incurred costs.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costs of staff such as research assistants and technicians will not be covered by the SVTGBI if these persons are not ordinary and special interest members of the SVTGBI.</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SVTGBI will not pay indirect costs, e.g. advertising for posts, secretarial work, stationary or contribution to general departmental overheads. Please ensure that costs are calculated accurately as supplementary grants are not available. All expenditure under this grant should be governed by the normal standard and procedures of the host institution.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NHS and/or University agreement for infrastructure support. Confirmation that the employing authority agrees to undertake the financial management and supervision of the research.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Proposed starting date of the project and duration.  We are able to extend the start date for 6 months after the award is made, however written permission must be obtained if the start date will be after this time. Please note that it may be possible to apply for an extension of the award duration.  This will be classified as a “non-cost” extension and should be applied for in writing with a detailed report of findings so far and reason for extension.  This will then be taken into consideration by the research committee.  </w:t>
      </w:r>
    </w:p>
    <w:p w:rsidR="00000000" w:rsidDel="00000000" w:rsidP="00000000" w:rsidRDefault="00000000" w:rsidRPr="00000000" w14:paraId="00000021">
      <w:pPr>
        <w:spacing w:after="0" w:line="24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Grants will only be made to individuals and research teams. Grants will not be awarded to other charities or institutions. Grant recipients must work within the United Kingdom or Ireland.</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43"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SVTGBI policy for travel reimbursement is as follows: Standard Class Rail Fare or flights if comparable/cheaper than standard rail fare. Where possible advanced booking must be used. Vehicle – 40p per mile. Reimbursement for food will not be made on single day meetings, study days etc.</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43"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Re-imbursement of Hotel Charges will be up to £85 outside London or £125 inside London.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the SVTGBI makes a grant, they reserve the right, without notice, to terminate it should they so wish.  In such a case, the SVTGBI will reimburse the host institution for expenditure properly incurred under the award up to the termination date, but it will not in any event be responsible for, nor indemnify, the host institution against any matters arising from the employment of staff.</w:t>
      </w:r>
    </w:p>
    <w:p w:rsidR="00000000" w:rsidDel="00000000" w:rsidP="00000000" w:rsidRDefault="00000000" w:rsidRPr="00000000" w14:paraId="00000029">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Invoices should be forwarded to:</w:t>
      </w:r>
    </w:p>
    <w:p w:rsidR="00000000" w:rsidDel="00000000" w:rsidP="00000000" w:rsidRDefault="00000000" w:rsidRPr="00000000" w14:paraId="0000002B">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after="0" w:line="24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 Simpson</w:t>
      </w:r>
    </w:p>
    <w:p w:rsidR="00000000" w:rsidDel="00000000" w:rsidP="00000000" w:rsidRDefault="00000000" w:rsidRPr="00000000" w14:paraId="0000002D">
      <w:pPr>
        <w:spacing w:after="0" w:line="24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of Research Committee</w:t>
      </w:r>
    </w:p>
    <w:p w:rsidR="00000000" w:rsidDel="00000000" w:rsidP="00000000" w:rsidRDefault="00000000" w:rsidRPr="00000000" w14:paraId="0000002E">
      <w:pPr>
        <w:spacing w:after="0" w:line="240" w:lineRule="auto"/>
        <w:ind w:left="360" w:firstLine="0"/>
        <w:jc w:val="both"/>
        <w:rPr>
          <w:sz w:val="24"/>
          <w:szCs w:val="24"/>
        </w:rPr>
      </w:pPr>
      <w:r w:rsidDel="00000000" w:rsidR="00000000" w:rsidRPr="00000000">
        <w:rPr>
          <w:sz w:val="24"/>
          <w:szCs w:val="24"/>
          <w:rtl w:val="0"/>
        </w:rPr>
        <w:t xml:space="preserve">Society for Vascular Technology of Great Britain and Ireland</w:t>
      </w:r>
    </w:p>
    <w:p w:rsidR="00000000" w:rsidDel="00000000" w:rsidP="00000000" w:rsidRDefault="00000000" w:rsidRPr="00000000" w14:paraId="0000002F">
      <w:pPr>
        <w:spacing w:after="0" w:line="240" w:lineRule="auto"/>
        <w:ind w:left="360" w:firstLine="0"/>
        <w:jc w:val="both"/>
        <w:rPr>
          <w:sz w:val="24"/>
          <w:szCs w:val="24"/>
        </w:rPr>
      </w:pPr>
      <w:hyperlink r:id="rId7">
        <w:r w:rsidDel="00000000" w:rsidR="00000000" w:rsidRPr="00000000">
          <w:rPr>
            <w:color w:val="1155cc"/>
            <w:sz w:val="24"/>
            <w:szCs w:val="24"/>
            <w:u w:val="single"/>
            <w:rtl w:val="0"/>
          </w:rPr>
          <w:t xml:space="preserve">research@svtgbi.org.uk</w:t>
        </w:r>
      </w:hyperlink>
      <w:r w:rsidDel="00000000" w:rsidR="00000000" w:rsidRPr="00000000">
        <w:rPr>
          <w:rtl w:val="0"/>
        </w:rPr>
      </w:r>
    </w:p>
    <w:p w:rsidR="00000000" w:rsidDel="00000000" w:rsidP="00000000" w:rsidRDefault="00000000" w:rsidRPr="00000000" w14:paraId="00000030">
      <w:pPr>
        <w:spacing w:after="0" w:line="240" w:lineRule="auto"/>
        <w:ind w:left="360" w:firstLine="0"/>
        <w:jc w:val="both"/>
        <w:rPr>
          <w:rFonts w:ascii="Calibri" w:cs="Calibri" w:eastAsia="Calibri" w:hAnsi="Calibri"/>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confirm your agreement to these conditions by signing and returning this sheet.  Strict compliance with these T&amp;Cs is required and failure to do so will jeopardise any future applications to the SVTGBI.</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hereby agree to abide by the above conditions;</w:t>
      </w:r>
    </w:p>
    <w:p w:rsidR="00000000" w:rsidDel="00000000" w:rsidP="00000000" w:rsidRDefault="00000000" w:rsidRPr="00000000" w14:paraId="00000033">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Applicant</w:t>
      </w:r>
    </w:p>
    <w:p w:rsidR="00000000" w:rsidDel="00000000" w:rsidP="00000000" w:rsidRDefault="00000000" w:rsidRPr="00000000" w14:paraId="0000003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 Name: ………………………………………………</w:t>
      </w:r>
    </w:p>
    <w:p w:rsidR="00000000" w:rsidDel="00000000" w:rsidP="00000000" w:rsidRDefault="00000000" w:rsidRPr="00000000" w14:paraId="00000035">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 </w:t>
      </w:r>
    </w:p>
    <w:p w:rsidR="00000000" w:rsidDel="00000000" w:rsidP="00000000" w:rsidRDefault="00000000" w:rsidRPr="00000000" w14:paraId="00000037">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Head of department</w:t>
      </w:r>
    </w:p>
    <w:p w:rsidR="00000000" w:rsidDel="00000000" w:rsidP="00000000" w:rsidRDefault="00000000" w:rsidRPr="00000000" w14:paraId="0000003B">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 Name: ……………………………………………… </w:t>
      </w:r>
    </w:p>
    <w:p w:rsidR="00000000" w:rsidDel="00000000" w:rsidP="00000000" w:rsidRDefault="00000000" w:rsidRPr="00000000" w14:paraId="0000003C">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 </w:t>
      </w:r>
    </w:p>
    <w:p w:rsidR="00000000" w:rsidDel="00000000" w:rsidP="00000000" w:rsidRDefault="00000000" w:rsidRPr="00000000" w14:paraId="0000003E">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w:t>
      </w:r>
    </w:p>
    <w:p w:rsidR="00000000" w:rsidDel="00000000" w:rsidP="00000000" w:rsidRDefault="00000000" w:rsidRPr="00000000" w14:paraId="0000004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Head of R&amp;D</w:t>
      </w:r>
    </w:p>
    <w:p w:rsidR="00000000" w:rsidDel="00000000" w:rsidP="00000000" w:rsidRDefault="00000000" w:rsidRPr="00000000" w14:paraId="00000042">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 Name: ……………………………………………… </w:t>
      </w:r>
    </w:p>
    <w:p w:rsidR="00000000" w:rsidDel="00000000" w:rsidP="00000000" w:rsidRDefault="00000000" w:rsidRPr="00000000" w14:paraId="00000043">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 </w:t>
      </w:r>
    </w:p>
    <w:p w:rsidR="00000000" w:rsidDel="00000000" w:rsidP="00000000" w:rsidRDefault="00000000" w:rsidRPr="00000000" w14:paraId="00000045">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w:t>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SVT T&amp;Cs V4 2</w:t>
    </w:r>
    <w:r w:rsidDel="00000000" w:rsidR="00000000" w:rsidRPr="00000000">
      <w:rPr>
        <w:rtl w:val="0"/>
      </w:rPr>
      <w:t xml:space="preserve">021</w:t>
    </w:r>
    <w:r w:rsidDel="00000000" w:rsidR="00000000" w:rsidRPr="00000000">
      <w:rPr>
        <w:rFonts w:ascii="Cambria" w:cs="Cambria" w:eastAsia="Cambria" w:hAnsi="Cambria"/>
        <w:b w:val="0"/>
        <w:i w:val="0"/>
        <w:smallCaps w:val="0"/>
        <w:strike w:val="0"/>
        <w:color w:val="000000"/>
        <w:sz w:val="56"/>
        <w:szCs w:val="56"/>
        <w:u w:val="singl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3137535</wp:posOffset>
          </wp:positionH>
          <wp:positionV relativeFrom="paragraph">
            <wp:posOffset>-217169</wp:posOffset>
          </wp:positionV>
          <wp:extent cx="2369185" cy="85534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69185" cy="855345"/>
                  </a:xfrm>
                  <a:prstGeom prst="rect"/>
                  <a:ln/>
                </pic:spPr>
              </pic:pic>
            </a:graphicData>
          </a:graphic>
        </wp:anchor>
      </w:drawing>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604AC"/>
  </w:style>
  <w:style w:type="paragraph" w:styleId="Heading5">
    <w:name w:val="heading 5"/>
    <w:basedOn w:val="Normal"/>
    <w:next w:val="Normal"/>
    <w:link w:val="Heading5Char"/>
    <w:uiPriority w:val="9"/>
    <w:qFormat w:val="1"/>
    <w:rsid w:val="00D604AC"/>
    <w:pPr>
      <w:spacing w:after="60" w:before="240" w:line="240" w:lineRule="auto"/>
      <w:outlineLvl w:val="4"/>
    </w:pPr>
    <w:rPr>
      <w:rFonts w:ascii="Calibri" w:cs="Times New Roman" w:eastAsia="Times New Roman" w:hAnsi="Calibri"/>
      <w:b w:val="1"/>
      <w:bCs w:val="1"/>
      <w:i w:val="1"/>
      <w:iCs w:val="1"/>
      <w:sz w:val="26"/>
      <w:szCs w:val="2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uiPriority w:val="9"/>
    <w:rsid w:val="00D604AC"/>
    <w:rPr>
      <w:rFonts w:ascii="Calibri" w:cs="Times New Roman" w:eastAsia="Times New Roman" w:hAnsi="Calibri"/>
      <w:b w:val="1"/>
      <w:bCs w:val="1"/>
      <w:i w:val="1"/>
      <w:iCs w:val="1"/>
      <w:sz w:val="26"/>
      <w:szCs w:val="26"/>
      <w:lang w:val="en-US"/>
    </w:rPr>
  </w:style>
  <w:style w:type="paragraph" w:styleId="ListParagraph">
    <w:name w:val="List Paragraph"/>
    <w:basedOn w:val="Normal"/>
    <w:uiPriority w:val="34"/>
    <w:qFormat w:val="1"/>
    <w:rsid w:val="00D604AC"/>
    <w:pPr>
      <w:spacing w:after="0" w:line="240" w:lineRule="auto"/>
      <w:ind w:left="720"/>
    </w:pPr>
    <w:rPr>
      <w:rFonts w:ascii="Times New Roman" w:cs="Times New Roman" w:eastAsia="Times New Roman" w:hAnsi="Times New Roman"/>
      <w:sz w:val="24"/>
      <w:szCs w:val="20"/>
      <w:lang w:val="en-US"/>
    </w:rPr>
  </w:style>
  <w:style w:type="character" w:styleId="CommentReference">
    <w:name w:val="annotation reference"/>
    <w:basedOn w:val="DefaultParagraphFont"/>
    <w:uiPriority w:val="99"/>
    <w:semiHidden w:val="1"/>
    <w:unhideWhenUsed w:val="1"/>
    <w:rsid w:val="003622F4"/>
    <w:rPr>
      <w:sz w:val="16"/>
      <w:szCs w:val="16"/>
    </w:rPr>
  </w:style>
  <w:style w:type="paragraph" w:styleId="CommentText">
    <w:name w:val="annotation text"/>
    <w:basedOn w:val="Normal"/>
    <w:link w:val="CommentTextChar"/>
    <w:uiPriority w:val="99"/>
    <w:semiHidden w:val="1"/>
    <w:unhideWhenUsed w:val="1"/>
    <w:rsid w:val="003622F4"/>
    <w:pPr>
      <w:spacing w:line="240" w:lineRule="auto"/>
    </w:pPr>
    <w:rPr>
      <w:sz w:val="20"/>
      <w:szCs w:val="20"/>
    </w:rPr>
  </w:style>
  <w:style w:type="character" w:styleId="CommentTextChar" w:customStyle="1">
    <w:name w:val="Comment Text Char"/>
    <w:basedOn w:val="DefaultParagraphFont"/>
    <w:link w:val="CommentText"/>
    <w:uiPriority w:val="99"/>
    <w:semiHidden w:val="1"/>
    <w:rsid w:val="003622F4"/>
    <w:rPr>
      <w:sz w:val="20"/>
      <w:szCs w:val="20"/>
    </w:rPr>
  </w:style>
  <w:style w:type="paragraph" w:styleId="CommentSubject">
    <w:name w:val="annotation subject"/>
    <w:basedOn w:val="CommentText"/>
    <w:next w:val="CommentText"/>
    <w:link w:val="CommentSubjectChar"/>
    <w:uiPriority w:val="99"/>
    <w:semiHidden w:val="1"/>
    <w:unhideWhenUsed w:val="1"/>
    <w:rsid w:val="003622F4"/>
    <w:rPr>
      <w:b w:val="1"/>
      <w:bCs w:val="1"/>
    </w:rPr>
  </w:style>
  <w:style w:type="character" w:styleId="CommentSubjectChar" w:customStyle="1">
    <w:name w:val="Comment Subject Char"/>
    <w:basedOn w:val="CommentTextChar"/>
    <w:link w:val="CommentSubject"/>
    <w:uiPriority w:val="99"/>
    <w:semiHidden w:val="1"/>
    <w:rsid w:val="003622F4"/>
    <w:rPr>
      <w:b w:val="1"/>
      <w:bCs w:val="1"/>
      <w:sz w:val="20"/>
      <w:szCs w:val="20"/>
    </w:rPr>
  </w:style>
  <w:style w:type="paragraph" w:styleId="BalloonText">
    <w:name w:val="Balloon Text"/>
    <w:basedOn w:val="Normal"/>
    <w:link w:val="BalloonTextChar"/>
    <w:uiPriority w:val="99"/>
    <w:semiHidden w:val="1"/>
    <w:unhideWhenUsed w:val="1"/>
    <w:rsid w:val="003622F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622F4"/>
    <w:rPr>
      <w:rFonts w:ascii="Tahoma" w:cs="Tahoma" w:hAnsi="Tahoma"/>
      <w:sz w:val="16"/>
      <w:szCs w:val="16"/>
    </w:rPr>
  </w:style>
  <w:style w:type="paragraph" w:styleId="Header">
    <w:name w:val="header"/>
    <w:basedOn w:val="Normal"/>
    <w:link w:val="HeaderChar"/>
    <w:uiPriority w:val="99"/>
    <w:unhideWhenUsed w:val="1"/>
    <w:rsid w:val="00A000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00C8"/>
  </w:style>
  <w:style w:type="paragraph" w:styleId="Footer">
    <w:name w:val="footer"/>
    <w:basedOn w:val="Normal"/>
    <w:link w:val="FooterChar"/>
    <w:uiPriority w:val="99"/>
    <w:unhideWhenUsed w:val="1"/>
    <w:rsid w:val="00A000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00C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earch@svtgbi.org.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FVeMYXtRPfV6Yudxr1GTMCBUMA==">AMUW2mWFt9hV2gk5Nl4BK6ogPWl7TCglhkYHsZ/vLOXRYRdydtIbBu8WKzWvycf/DmA3mnS9WHTn9d+ma6CN4xQ+AEei0oWKvoGxsCccDZhWMwvIuJ2aGwQCvnWwYm77v6pNXV08SryO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2017-11-20T20:08:00Z</dcterms:created>
  <dc:creator>srogers</dc:creator>
</cp:coreProperties>
</file>