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4C7A" w14:textId="77777777" w:rsidR="00F17F73" w:rsidRDefault="00922211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70B8E05" wp14:editId="31540CAA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70FDD05D" w14:textId="77777777" w:rsidR="00F17F73" w:rsidRDefault="009222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42F7D4A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3CE66350" w14:textId="77777777" w:rsidR="00F17F73" w:rsidRDefault="009222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6D7CCF53" w14:textId="77777777" w:rsidR="00F17F73" w:rsidRDefault="009222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682A8621" w14:textId="77777777" w:rsidR="00F17F73" w:rsidRDefault="009222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42689E3E" w14:textId="77777777" w:rsidR="00F17F73" w:rsidRDefault="009222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25AE415F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9D07C1A" w14:textId="085228DE" w:rsidR="00F17F73" w:rsidRPr="00922211" w:rsidRDefault="009222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Lt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12/04/2023</w:t>
      </w:r>
    </w:p>
    <w:p w14:paraId="6E35B780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DCDA356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74FFDB34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1689463D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tender over the medial </w:t>
      </w:r>
      <w:proofErr w:type="spellStart"/>
      <w:r>
        <w:rPr>
          <w:sz w:val="20"/>
          <w:lang w:val="en-US" w:eastAsia="en-US" w:bidi="en-US"/>
        </w:rPr>
        <w:t>mid thigh</w:t>
      </w:r>
      <w:proofErr w:type="spellEnd"/>
      <w:r>
        <w:rPr>
          <w:sz w:val="20"/>
          <w:lang w:val="en-US" w:eastAsia="en-US" w:bidi="en-US"/>
        </w:rPr>
        <w:t xml:space="preserve"> ? new STP, had </w:t>
      </w:r>
      <w:proofErr w:type="spellStart"/>
      <w:r>
        <w:rPr>
          <w:sz w:val="20"/>
          <w:lang w:val="en-US" w:eastAsia="en-US" w:bidi="en-US"/>
        </w:rPr>
        <w:t>stp</w:t>
      </w:r>
      <w:proofErr w:type="spellEnd"/>
      <w:r>
        <w:rPr>
          <w:sz w:val="20"/>
          <w:lang w:val="en-US" w:eastAsia="en-US" w:bidi="en-US"/>
        </w:rPr>
        <w:t xml:space="preserve"> in Feb 23, treated for 4/52</w:t>
      </w:r>
    </w:p>
    <w:p w14:paraId="2B585ED0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783A246E" w14:textId="77777777" w:rsidR="00F17F73" w:rsidRDefault="009222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69948C1D" w14:textId="77777777" w:rsidR="00F17F73" w:rsidRDefault="00F17F73">
      <w:pPr>
        <w:pStyle w:val="Normal0"/>
        <w:widowControl/>
        <w:rPr>
          <w:b/>
          <w:sz w:val="20"/>
          <w:lang w:val="en-US" w:eastAsia="en-US" w:bidi="en-US"/>
        </w:rPr>
      </w:pPr>
    </w:p>
    <w:p w14:paraId="02D033FE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LEFT LOWER LIMB VENOUS DUPLEX ASSESSMENT ? DVT</w:t>
      </w:r>
    </w:p>
    <w:p w14:paraId="086749A1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7D805B5C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Iliac veins not viewed. Flow in the common femoral vein is phasic with respiration, suggesting proximal vein patency.</w:t>
      </w:r>
    </w:p>
    <w:p w14:paraId="403DE042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20D11AAC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common femoral vein, profunda femoral vein (origin), superficial femoral vein, and popliteal vein, appear patent with good colour-filling and are fully compressible.</w:t>
      </w:r>
    </w:p>
    <w:p w14:paraId="10F8F208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3969E390" w14:textId="5658F4E4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Calf veins were difficult to visualize</w:t>
      </w:r>
      <w:r>
        <w:rPr>
          <w:sz w:val="20"/>
          <w:lang w:val="en-US" w:eastAsia="en-US" w:bidi="en-US"/>
        </w:rPr>
        <w:t xml:space="preserve"> due to depth and oedema. Gastrocnemius veins </w:t>
      </w:r>
      <w:r>
        <w:rPr>
          <w:sz w:val="20"/>
          <w:lang w:val="en-US" w:eastAsia="en-US" w:bidi="en-US"/>
        </w:rPr>
        <w:t xml:space="preserve">and posterior tibial veins appear patent and fully compressible. Poor visualisation of the peroneal veins, where seen colour flow noted, however unable to fully exclude thrombus from the peroneal veins. </w:t>
      </w:r>
    </w:p>
    <w:p w14:paraId="2E4BF02B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324967D4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occlusive fresh STP in the SFJ, STP is </w:t>
      </w:r>
      <w:r>
        <w:rPr>
          <w:sz w:val="20"/>
          <w:lang w:val="en-US" w:eastAsia="en-US" w:bidi="en-US"/>
        </w:rPr>
        <w:t>at the valve site, but is not currently within the CFV.</w:t>
      </w:r>
    </w:p>
    <w:p w14:paraId="4521116C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20A63B2C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occlusive fresh and mixed STP identified along the LSV in the thigh and prox-mid calf, and in VV noted in the </w:t>
      </w: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>.</w:t>
      </w:r>
    </w:p>
    <w:p w14:paraId="2438BFC8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3022295C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SSV appear patent and fully compressible. </w:t>
      </w:r>
    </w:p>
    <w:p w14:paraId="29996FC3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7E614E4C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7605BE3B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555FCAC1" w14:textId="77777777" w:rsidR="00F17F73" w:rsidRDefault="009222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left proximal lower limb DVT.</w:t>
      </w:r>
    </w:p>
    <w:p w14:paraId="56F2288D" w14:textId="77777777" w:rsidR="00F17F73" w:rsidRDefault="00F17F73">
      <w:pPr>
        <w:pStyle w:val="Normal0"/>
        <w:widowControl/>
        <w:rPr>
          <w:b/>
          <w:sz w:val="20"/>
          <w:lang w:val="en-US" w:eastAsia="en-US" w:bidi="en-US"/>
        </w:rPr>
      </w:pPr>
    </w:p>
    <w:p w14:paraId="230A8C48" w14:textId="77777777" w:rsidR="00F17F73" w:rsidRDefault="009222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Poor visualisation of the left peroneal vein - unable to exclude thrombus, all other left deep calf veins appear absent</w:t>
      </w:r>
    </w:p>
    <w:p w14:paraId="66B45E93" w14:textId="77777777" w:rsidR="00F17F73" w:rsidRDefault="009222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of DVT. </w:t>
      </w:r>
    </w:p>
    <w:p w14:paraId="309D24FD" w14:textId="77777777" w:rsidR="00F17F73" w:rsidRDefault="00F17F73">
      <w:pPr>
        <w:pStyle w:val="Normal0"/>
        <w:widowControl/>
        <w:rPr>
          <w:b/>
          <w:sz w:val="20"/>
          <w:lang w:val="en-US" w:eastAsia="en-US" w:bidi="en-US"/>
        </w:rPr>
      </w:pPr>
    </w:p>
    <w:p w14:paraId="17A0D3DB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acute STP in the left SFJ and LSV in the thigh and calf</w:t>
      </w:r>
    </w:p>
    <w:p w14:paraId="0FEC3926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7459304E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++</w:t>
      </w:r>
      <w:r>
        <w:rPr>
          <w:b/>
          <w:lang w:val="en-US" w:eastAsia="en-US" w:bidi="en-US"/>
        </w:rPr>
        <w:t xml:space="preserve"> Significant or Unexpected Finding ++</w:t>
      </w:r>
    </w:p>
    <w:p w14:paraId="1C9F27CF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20C6F343" w14:textId="77777777" w:rsidR="00F17F73" w:rsidRDefault="0092221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B6F1AA0" w14:textId="77777777" w:rsidR="00F17F73" w:rsidRDefault="00F17F73">
      <w:pPr>
        <w:pStyle w:val="Normal0"/>
        <w:widowControl/>
        <w:rPr>
          <w:b/>
          <w:sz w:val="20"/>
          <w:lang w:val="en-US" w:eastAsia="en-US" w:bidi="en-US"/>
        </w:rPr>
      </w:pPr>
    </w:p>
    <w:p w14:paraId="405D11F7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4D870027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4F1DC6B0" w14:textId="77777777" w:rsidR="00F17F73" w:rsidRDefault="00F17F73">
      <w:pPr>
        <w:pStyle w:val="Normal0"/>
        <w:widowControl/>
        <w:rPr>
          <w:sz w:val="20"/>
          <w:lang w:val="en-US" w:eastAsia="en-US" w:bidi="en-US"/>
        </w:rPr>
      </w:pPr>
    </w:p>
    <w:p w14:paraId="445C24B4" w14:textId="77777777" w:rsidR="00F17F73" w:rsidRDefault="00922211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1DF8F445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2BFBD9A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0D9A22C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82F5B1B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BC714F1" w14:textId="77777777" w:rsidR="00F17F73" w:rsidRDefault="0092221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12/04/2023 13:50:56</w:t>
      </w:r>
    </w:p>
    <w:p w14:paraId="2F7B3E63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61537D4" w14:textId="77777777" w:rsidR="00F17F73" w:rsidRDefault="00F17F7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F17F73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73271" w14:textId="77777777" w:rsidR="00000000" w:rsidRDefault="00922211">
      <w:r>
        <w:separator/>
      </w:r>
    </w:p>
  </w:endnote>
  <w:endnote w:type="continuationSeparator" w:id="0">
    <w:p w14:paraId="27906A1F" w14:textId="77777777" w:rsidR="00000000" w:rsidRDefault="0092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5460" w14:textId="77777777" w:rsidR="00F17F73" w:rsidRDefault="00922211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6AE1A" w14:textId="77777777" w:rsidR="00000000" w:rsidRDefault="00922211">
      <w:r>
        <w:separator/>
      </w:r>
    </w:p>
  </w:footnote>
  <w:footnote w:type="continuationSeparator" w:id="0">
    <w:p w14:paraId="354F1B31" w14:textId="77777777" w:rsidR="00000000" w:rsidRDefault="00922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F73"/>
    <w:rsid w:val="00922211"/>
    <w:rsid w:val="00F1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54C00"/>
  <w15:docId w15:val="{BA4AC7A6-B775-454D-A75D-DE012EB5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1403</Characters>
  <Application>Microsoft Office Word</Application>
  <DocSecurity>0</DocSecurity>
  <Lines>11</Lines>
  <Paragraphs>3</Paragraphs>
  <ScaleCrop>false</ScaleCrop>
  <Company>Countess of Chester Hospital NHS Foundation Trust</Company>
  <LinksUpToDate>false</LinksUpToDate>
  <CharactersWithSpaces>1646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2023-04-13T16:05:00Z</dcterms:created>
  <dcterms:modified xsi:type="dcterms:W3CDTF">2023-04-13T16:05:00Z</dcterms:modified>
</cp:coreProperties>
</file>