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8B" w:rsidRPr="00052B25" w:rsidRDefault="00C9548B" w:rsidP="00052B25">
      <w:pPr>
        <w:pStyle w:val="Heading2"/>
        <w:jc w:val="center"/>
        <w:rPr>
          <w:rFonts w:ascii="Arial" w:hAnsi="Arial" w:cs="Arial"/>
          <w:b w:val="0"/>
          <w:color w:val="0000FF"/>
          <w:sz w:val="28"/>
          <w:szCs w:val="28"/>
          <w:u w:val="single"/>
        </w:rPr>
      </w:pPr>
      <w:smartTag w:uri="urn:schemas-microsoft-com:office:smarttags" w:element="PlaceName">
        <w:r w:rsidRPr="00052B25">
          <w:rPr>
            <w:rFonts w:ascii="Arial" w:hAnsi="Arial" w:cs="Arial"/>
            <w:b w:val="0"/>
            <w:color w:val="0000FF"/>
            <w:sz w:val="28"/>
            <w:szCs w:val="28"/>
            <w:u w:val="single"/>
          </w:rPr>
          <w:t>Musgrove</w:t>
        </w:r>
      </w:smartTag>
      <w:r w:rsidRPr="00052B25">
        <w:rPr>
          <w:rFonts w:ascii="Arial" w:hAnsi="Arial" w:cs="Arial"/>
          <w:b w:val="0"/>
          <w:color w:val="0000FF"/>
          <w:sz w:val="28"/>
          <w:szCs w:val="28"/>
          <w:u w:val="single"/>
        </w:rPr>
        <w:t xml:space="preserve"> </w:t>
      </w:r>
      <w:smartTag w:uri="urn:schemas-microsoft-com:office:smarttags" w:element="PlaceType">
        <w:r w:rsidRPr="00052B25">
          <w:rPr>
            <w:rFonts w:ascii="Arial" w:hAnsi="Arial" w:cs="Arial"/>
            <w:b w:val="0"/>
            <w:color w:val="0000FF"/>
            <w:sz w:val="28"/>
            <w:szCs w:val="28"/>
            <w:u w:val="single"/>
          </w:rPr>
          <w:t>Park</w:t>
        </w:r>
      </w:smartTag>
      <w:r w:rsidRPr="00052B25">
        <w:rPr>
          <w:rFonts w:ascii="Arial" w:hAnsi="Arial" w:cs="Arial"/>
          <w:b w:val="0"/>
          <w:color w:val="0000FF"/>
          <w:sz w:val="28"/>
          <w:szCs w:val="28"/>
          <w:u w:val="single"/>
        </w:rPr>
        <w:t xml:space="preserve"> </w:t>
      </w:r>
      <w:smartTag w:uri="urn:schemas-microsoft-com:office:smarttags" w:element="PlaceType">
        <w:r w:rsidRPr="00052B25">
          <w:rPr>
            <w:rFonts w:ascii="Arial" w:hAnsi="Arial" w:cs="Arial"/>
            <w:b w:val="0"/>
            <w:color w:val="0000FF"/>
            <w:sz w:val="28"/>
            <w:szCs w:val="28"/>
            <w:u w:val="single"/>
          </w:rPr>
          <w:t>Hospital</w:t>
        </w:r>
      </w:smartTag>
      <w:r w:rsidRPr="00052B25">
        <w:rPr>
          <w:rFonts w:ascii="Arial" w:hAnsi="Arial" w:cs="Arial"/>
          <w:b w:val="0"/>
          <w:color w:val="0000FF"/>
          <w:sz w:val="28"/>
          <w:szCs w:val="28"/>
          <w:u w:val="single"/>
        </w:rPr>
        <w:t xml:space="preserve"> – </w:t>
      </w:r>
      <w:smartTag w:uri="urn:schemas-microsoft-com:office:smarttags" w:element="City">
        <w:r w:rsidRPr="00052B25">
          <w:rPr>
            <w:rFonts w:ascii="Arial" w:hAnsi="Arial" w:cs="Arial"/>
            <w:b w:val="0"/>
            <w:color w:val="0000FF"/>
            <w:sz w:val="28"/>
            <w:szCs w:val="28"/>
            <w:u w:val="single"/>
          </w:rPr>
          <w:t>Taunton</w:t>
        </w:r>
      </w:smartTag>
      <w:r w:rsidRPr="00052B25">
        <w:rPr>
          <w:rFonts w:ascii="Arial" w:hAnsi="Arial" w:cs="Arial"/>
          <w:b w:val="0"/>
          <w:color w:val="0000FF"/>
          <w:sz w:val="28"/>
          <w:szCs w:val="28"/>
          <w:u w:val="single"/>
        </w:rPr>
        <w:t xml:space="preserve"> - </w:t>
      </w:r>
      <w:smartTag w:uri="urn:schemas-microsoft-com:office:smarttags" w:element="place">
        <w:smartTag w:uri="urn:schemas-microsoft-com:office:smarttags" w:element="City">
          <w:r w:rsidRPr="00052B25">
            <w:rPr>
              <w:rFonts w:ascii="Arial" w:hAnsi="Arial" w:cs="Arial"/>
              <w:b w:val="0"/>
              <w:color w:val="0000FF"/>
              <w:sz w:val="28"/>
              <w:szCs w:val="28"/>
              <w:u w:val="single"/>
            </w:rPr>
            <w:t>Somerset</w:t>
          </w:r>
        </w:smartTag>
      </w:smartTag>
    </w:p>
    <w:p w:rsidR="00C9548B" w:rsidRPr="00052B25" w:rsidRDefault="00C9548B">
      <w:pPr>
        <w:rPr>
          <w:rFonts w:ascii="Arial" w:hAnsi="Arial" w:cs="Arial"/>
          <w:b/>
          <w:sz w:val="24"/>
          <w:szCs w:val="24"/>
        </w:rPr>
      </w:pPr>
    </w:p>
    <w:p w:rsidR="00C9548B" w:rsidRDefault="00C9548B" w:rsidP="00052B25">
      <w:pPr>
        <w:jc w:val="center"/>
        <w:rPr>
          <w:rFonts w:ascii="Arial" w:hAnsi="Arial" w:cs="Arial"/>
          <w:b/>
          <w:sz w:val="28"/>
          <w:szCs w:val="28"/>
          <w:u w:val="single"/>
        </w:rPr>
      </w:pPr>
      <w:r w:rsidRPr="00052B25">
        <w:rPr>
          <w:rFonts w:ascii="Arial" w:hAnsi="Arial" w:cs="Arial"/>
          <w:b/>
          <w:sz w:val="28"/>
          <w:szCs w:val="28"/>
          <w:u w:val="single"/>
        </w:rPr>
        <w:t>Carotid Duplex Scanning Protocol</w:t>
      </w:r>
    </w:p>
    <w:p w:rsidR="00C9548B" w:rsidRPr="00052B25" w:rsidRDefault="00C9548B" w:rsidP="00052B25">
      <w:pPr>
        <w:jc w:val="center"/>
        <w:rPr>
          <w:rFonts w:ascii="Arial" w:hAnsi="Arial" w:cs="Arial"/>
          <w:b/>
          <w:sz w:val="28"/>
          <w:szCs w:val="28"/>
          <w:u w:val="single"/>
        </w:rPr>
      </w:pPr>
    </w:p>
    <w:p w:rsidR="00C9548B" w:rsidRPr="00052B25" w:rsidRDefault="00C9548B" w:rsidP="00DC4AB4">
      <w:pPr>
        <w:rPr>
          <w:rFonts w:ascii="Arial" w:hAnsi="Arial" w:cs="Arial"/>
          <w:sz w:val="24"/>
          <w:szCs w:val="24"/>
        </w:rPr>
      </w:pPr>
      <w:r w:rsidRPr="00052B25">
        <w:rPr>
          <w:rFonts w:ascii="Arial" w:hAnsi="Arial" w:cs="Arial"/>
          <w:b/>
          <w:sz w:val="24"/>
          <w:szCs w:val="24"/>
        </w:rPr>
        <w:t xml:space="preserve">DIRECTORATE: </w:t>
      </w:r>
      <w:r w:rsidRPr="00052B25">
        <w:rPr>
          <w:rFonts w:ascii="Arial" w:hAnsi="Arial" w:cs="Arial"/>
          <w:sz w:val="24"/>
          <w:szCs w:val="24"/>
        </w:rPr>
        <w:t xml:space="preserve"> </w:t>
      </w:r>
      <w:r w:rsidRPr="00052B25">
        <w:rPr>
          <w:rFonts w:ascii="Arial" w:hAnsi="Arial" w:cs="Arial"/>
          <w:sz w:val="24"/>
          <w:szCs w:val="24"/>
        </w:rPr>
        <w:tab/>
        <w:t>Vascular Surgery</w:t>
      </w:r>
    </w:p>
    <w:p w:rsidR="00C9548B" w:rsidRPr="00052B25" w:rsidRDefault="00C9548B" w:rsidP="00DC4AB4">
      <w:pPr>
        <w:rPr>
          <w:rFonts w:ascii="Arial" w:hAnsi="Arial" w:cs="Arial"/>
          <w:sz w:val="24"/>
          <w:szCs w:val="24"/>
        </w:rPr>
      </w:pPr>
      <w:r w:rsidRPr="00052B25">
        <w:rPr>
          <w:rFonts w:ascii="Arial" w:hAnsi="Arial" w:cs="Arial"/>
          <w:b/>
          <w:sz w:val="24"/>
          <w:szCs w:val="24"/>
        </w:rPr>
        <w:t xml:space="preserve">APLLICABILITY:  </w:t>
      </w:r>
      <w:r>
        <w:rPr>
          <w:rFonts w:ascii="Arial" w:hAnsi="Arial" w:cs="Arial"/>
          <w:b/>
          <w:sz w:val="24"/>
          <w:szCs w:val="24"/>
        </w:rPr>
        <w:tab/>
      </w:r>
      <w:r w:rsidRPr="00052B25">
        <w:rPr>
          <w:rFonts w:ascii="Arial" w:hAnsi="Arial" w:cs="Arial"/>
          <w:sz w:val="24"/>
          <w:szCs w:val="24"/>
        </w:rPr>
        <w:t>To all professionals performing carotid duplex scans.</w:t>
      </w:r>
    </w:p>
    <w:p w:rsidR="00C9548B" w:rsidRPr="00052B25" w:rsidRDefault="00C9548B" w:rsidP="00DC4AB4">
      <w:pPr>
        <w:rPr>
          <w:rFonts w:ascii="Arial" w:hAnsi="Arial" w:cs="Arial"/>
          <w:sz w:val="24"/>
          <w:szCs w:val="24"/>
        </w:rPr>
      </w:pPr>
      <w:r w:rsidRPr="00052B25">
        <w:rPr>
          <w:rFonts w:ascii="Arial" w:hAnsi="Arial" w:cs="Arial"/>
          <w:b/>
          <w:sz w:val="24"/>
          <w:szCs w:val="24"/>
        </w:rPr>
        <w:t xml:space="preserve">PURPOSE: </w:t>
      </w:r>
      <w:r w:rsidRPr="00052B2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052B25">
        <w:rPr>
          <w:rFonts w:ascii="Arial" w:hAnsi="Arial" w:cs="Arial"/>
          <w:sz w:val="24"/>
          <w:szCs w:val="24"/>
        </w:rPr>
        <w:t>To evidence base best practice.</w:t>
      </w:r>
    </w:p>
    <w:p w:rsidR="00C9548B" w:rsidRPr="00052B25" w:rsidRDefault="00C9548B" w:rsidP="00DC4AB4">
      <w:pPr>
        <w:rPr>
          <w:rFonts w:ascii="Arial" w:hAnsi="Arial" w:cs="Arial"/>
          <w:sz w:val="24"/>
          <w:szCs w:val="24"/>
        </w:rPr>
      </w:pPr>
      <w:r w:rsidRPr="00052B25">
        <w:rPr>
          <w:rFonts w:ascii="Arial" w:hAnsi="Arial" w:cs="Arial"/>
          <w:b/>
          <w:sz w:val="24"/>
          <w:szCs w:val="24"/>
        </w:rPr>
        <w:t>REVIEW DATE:</w:t>
      </w:r>
      <w:r w:rsidRPr="00052B25">
        <w:rPr>
          <w:rFonts w:ascii="Arial" w:hAnsi="Arial" w:cs="Arial"/>
          <w:sz w:val="24"/>
          <w:szCs w:val="24"/>
        </w:rPr>
        <w:t xml:space="preserve">  </w:t>
      </w:r>
      <w:r>
        <w:rPr>
          <w:rFonts w:ascii="Arial" w:hAnsi="Arial" w:cs="Arial"/>
          <w:sz w:val="24"/>
          <w:szCs w:val="24"/>
        </w:rPr>
        <w:tab/>
      </w:r>
      <w:r w:rsidRPr="00052B25">
        <w:rPr>
          <w:rFonts w:ascii="Arial" w:hAnsi="Arial" w:cs="Arial"/>
          <w:sz w:val="24"/>
          <w:szCs w:val="24"/>
        </w:rPr>
        <w:t>August 2015</w:t>
      </w:r>
    </w:p>
    <w:p w:rsidR="00C9548B" w:rsidRPr="00052B25" w:rsidRDefault="00C9548B" w:rsidP="00B60CE5">
      <w:pPr>
        <w:rPr>
          <w:rFonts w:ascii="Arial" w:hAnsi="Arial" w:cs="Arial"/>
          <w:b/>
          <w:i/>
          <w:sz w:val="24"/>
          <w:szCs w:val="24"/>
          <w:u w:val="single"/>
        </w:rPr>
      </w:pPr>
      <w:r w:rsidRPr="00052B25">
        <w:rPr>
          <w:rFonts w:ascii="Arial" w:hAnsi="Arial" w:cs="Arial"/>
          <w:b/>
          <w:i/>
          <w:sz w:val="24"/>
          <w:szCs w:val="24"/>
          <w:u w:val="single"/>
        </w:rPr>
        <w:t xml:space="preserve">OBJECTIVE: </w:t>
      </w:r>
    </w:p>
    <w:p w:rsidR="00C9548B" w:rsidRPr="00052B25" w:rsidRDefault="00C9548B" w:rsidP="00B60CE5">
      <w:pPr>
        <w:rPr>
          <w:rFonts w:ascii="Arial" w:hAnsi="Arial" w:cs="Arial"/>
          <w:sz w:val="24"/>
          <w:szCs w:val="24"/>
        </w:rPr>
      </w:pPr>
      <w:r w:rsidRPr="00052B25">
        <w:rPr>
          <w:rFonts w:ascii="Arial" w:hAnsi="Arial" w:cs="Arial"/>
          <w:sz w:val="24"/>
          <w:szCs w:val="24"/>
        </w:rPr>
        <w:t xml:space="preserve">1. Carotid ultrasound examination is used to screen for carotid artery disease, which occurs mainly at the carotid bifurcation. Stroke is the most common cause of death in the </w:t>
      </w:r>
      <w:smartTag w:uri="urn:schemas-microsoft-com:office:smarttags" w:element="City">
        <w:r w:rsidRPr="00052B25">
          <w:rPr>
            <w:rFonts w:ascii="Arial" w:hAnsi="Arial" w:cs="Arial"/>
            <w:sz w:val="24"/>
            <w:szCs w:val="24"/>
          </w:rPr>
          <w:t>UK</w:t>
        </w:r>
      </w:smartTag>
      <w:r w:rsidRPr="00052B25">
        <w:rPr>
          <w:rFonts w:ascii="Arial" w:hAnsi="Arial" w:cs="Arial"/>
          <w:sz w:val="24"/>
          <w:szCs w:val="24"/>
        </w:rPr>
        <w:t xml:space="preserve">.  Up to 80% of ischemic strokes occur in the carotid territory of the brain supplied by the carotid arteries. Recent trials have shown that patients with significant carotid artery disease benefit from surgery. </w:t>
      </w:r>
    </w:p>
    <w:p w:rsidR="00C9548B" w:rsidRPr="00052B25" w:rsidRDefault="00C9548B" w:rsidP="00B60CE5">
      <w:pPr>
        <w:rPr>
          <w:rFonts w:ascii="Arial" w:hAnsi="Arial" w:cs="Arial"/>
          <w:sz w:val="24"/>
          <w:szCs w:val="24"/>
        </w:rPr>
      </w:pPr>
      <w:r w:rsidRPr="00052B25">
        <w:rPr>
          <w:rFonts w:ascii="Arial" w:hAnsi="Arial" w:cs="Arial"/>
          <w:sz w:val="24"/>
          <w:szCs w:val="24"/>
        </w:rPr>
        <w:t xml:space="preserve">2. To identify the flow direction and any atheroma in the CCA,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ECA and </w:t>
      </w:r>
      <w:proofErr w:type="spellStart"/>
      <w:r w:rsidRPr="00052B25">
        <w:rPr>
          <w:rFonts w:ascii="Arial" w:hAnsi="Arial" w:cs="Arial"/>
          <w:sz w:val="24"/>
          <w:szCs w:val="24"/>
        </w:rPr>
        <w:t>vertebrals</w:t>
      </w:r>
      <w:proofErr w:type="spellEnd"/>
      <w:r w:rsidRPr="00052B25">
        <w:rPr>
          <w:rFonts w:ascii="Arial" w:hAnsi="Arial" w:cs="Arial"/>
          <w:sz w:val="24"/>
          <w:szCs w:val="24"/>
        </w:rPr>
        <w:t>.</w:t>
      </w:r>
    </w:p>
    <w:p w:rsidR="00C9548B" w:rsidRPr="00052B25" w:rsidRDefault="00C9548B" w:rsidP="00FE4D2C">
      <w:pPr>
        <w:pStyle w:val="ListParagraph"/>
        <w:widowControl w:val="0"/>
        <w:autoSpaceDE w:val="0"/>
        <w:autoSpaceDN w:val="0"/>
        <w:adjustRightInd w:val="0"/>
        <w:spacing w:after="240"/>
        <w:ind w:left="0"/>
        <w:rPr>
          <w:rFonts w:ascii="Arial" w:hAnsi="Arial" w:cs="Arial"/>
          <w:sz w:val="24"/>
          <w:szCs w:val="24"/>
          <w:lang w:val="en-US"/>
        </w:rPr>
      </w:pPr>
      <w:r w:rsidRPr="00052B25">
        <w:rPr>
          <w:rFonts w:ascii="Arial" w:hAnsi="Arial" w:cs="Arial"/>
          <w:sz w:val="24"/>
          <w:szCs w:val="24"/>
        </w:rPr>
        <w:t>3. To determine the degree of narrowing/ stenosis using colour and pulse Doppler.</w:t>
      </w:r>
      <w:r w:rsidRPr="00052B25">
        <w:rPr>
          <w:rFonts w:ascii="Arial" w:hAnsi="Arial" w:cs="Arial"/>
          <w:sz w:val="24"/>
          <w:szCs w:val="24"/>
          <w:lang w:val="en-US"/>
        </w:rPr>
        <w:t xml:space="preserve"> </w:t>
      </w:r>
    </w:p>
    <w:p w:rsidR="00C9548B" w:rsidRPr="00052B25" w:rsidRDefault="00C9548B" w:rsidP="00B6397E">
      <w:pPr>
        <w:pStyle w:val="ListParagraph"/>
        <w:widowControl w:val="0"/>
        <w:numPr>
          <w:ilvl w:val="0"/>
          <w:numId w:val="9"/>
        </w:numPr>
        <w:autoSpaceDE w:val="0"/>
        <w:autoSpaceDN w:val="0"/>
        <w:adjustRightInd w:val="0"/>
        <w:spacing w:after="240"/>
        <w:ind w:left="0" w:firstLine="0"/>
        <w:rPr>
          <w:rFonts w:ascii="Arial" w:hAnsi="Arial" w:cs="Arial"/>
          <w:sz w:val="24"/>
          <w:szCs w:val="24"/>
          <w:lang w:val="en-US"/>
        </w:rPr>
      </w:pPr>
    </w:p>
    <w:p w:rsidR="00C9548B" w:rsidRPr="00052B25" w:rsidRDefault="00C9548B" w:rsidP="00FE4D2C">
      <w:pPr>
        <w:pStyle w:val="ListParagraph"/>
        <w:widowControl w:val="0"/>
        <w:autoSpaceDE w:val="0"/>
        <w:autoSpaceDN w:val="0"/>
        <w:adjustRightInd w:val="0"/>
        <w:spacing w:after="240"/>
        <w:ind w:left="0"/>
        <w:rPr>
          <w:rFonts w:ascii="Arial" w:hAnsi="Arial" w:cs="Arial"/>
          <w:sz w:val="24"/>
          <w:szCs w:val="24"/>
          <w:lang w:val="en-US"/>
        </w:rPr>
      </w:pPr>
      <w:r w:rsidRPr="00052B25">
        <w:rPr>
          <w:rFonts w:ascii="Arial" w:hAnsi="Arial" w:cs="Arial"/>
          <w:sz w:val="24"/>
          <w:szCs w:val="24"/>
          <w:lang w:val="en-US"/>
        </w:rPr>
        <w:t>Carotid imaging is required to determine the presence and severity of carotid stenosis in those individuals who may be appropriate for carotid endarterectomy, i.e. those with a TIA or minor or recovered stroke involving the anterior circulation who are fit and willing for surgery.</w:t>
      </w:r>
      <w:r w:rsidRPr="00052B25">
        <w:rPr>
          <w:rFonts w:ascii="Arial" w:eastAsia="MS Mincho" w:hAnsi="Arial" w:cs="Arial"/>
          <w:sz w:val="24"/>
          <w:szCs w:val="24"/>
          <w:lang w:val="en-US"/>
        </w:rPr>
        <w:t> </w:t>
      </w:r>
      <w:r w:rsidRPr="00052B25">
        <w:rPr>
          <w:rFonts w:ascii="Arial" w:hAnsi="Arial" w:cs="Arial"/>
          <w:sz w:val="24"/>
          <w:szCs w:val="24"/>
          <w:lang w:val="en-US"/>
        </w:rPr>
        <w:t>MRA should be reserved for cases where there is difficulty interpreting the Doppler scan or where either a carotid or vertebral artery dissection is suspected.</w:t>
      </w:r>
    </w:p>
    <w:p w:rsidR="002A4153" w:rsidRPr="000C274E" w:rsidRDefault="002A4153" w:rsidP="002A4153">
      <w:pPr>
        <w:spacing w:line="240" w:lineRule="auto"/>
        <w:rPr>
          <w:rFonts w:ascii="Arial" w:hAnsi="Arial" w:cs="Arial"/>
          <w:b/>
          <w:sz w:val="24"/>
          <w:szCs w:val="24"/>
          <w:u w:val="single"/>
        </w:rPr>
      </w:pPr>
      <w:r w:rsidRPr="000C274E">
        <w:rPr>
          <w:rFonts w:ascii="Arial" w:hAnsi="Arial" w:cs="Arial"/>
          <w:b/>
          <w:sz w:val="24"/>
          <w:szCs w:val="24"/>
          <w:u w:val="single"/>
        </w:rPr>
        <w:t>EQUIPMENT:</w:t>
      </w:r>
    </w:p>
    <w:p w:rsidR="002A4153" w:rsidRDefault="002A4153" w:rsidP="002A4153">
      <w:pPr>
        <w:spacing w:line="240" w:lineRule="auto"/>
        <w:rPr>
          <w:rFonts w:ascii="Arial" w:hAnsi="Arial" w:cs="Arial"/>
          <w:sz w:val="24"/>
          <w:szCs w:val="24"/>
        </w:rPr>
      </w:pPr>
      <w:proofErr w:type="gramStart"/>
      <w:r>
        <w:rPr>
          <w:rFonts w:ascii="Arial" w:hAnsi="Arial" w:cs="Arial"/>
          <w:sz w:val="24"/>
          <w:szCs w:val="24"/>
        </w:rPr>
        <w:t>Duplex Doppler ultrasound machine</w:t>
      </w:r>
      <w:r>
        <w:rPr>
          <w:rFonts w:ascii="Arial" w:hAnsi="Arial" w:cs="Arial"/>
          <w:sz w:val="24"/>
          <w:szCs w:val="24"/>
        </w:rPr>
        <w:t xml:space="preserve"> with imaging frequencies of 5</w:t>
      </w:r>
      <w:r>
        <w:rPr>
          <w:rFonts w:ascii="Arial" w:hAnsi="Arial" w:cs="Arial"/>
          <w:sz w:val="24"/>
          <w:szCs w:val="24"/>
        </w:rPr>
        <w:t>MHz and greater; with both linear and curvilinear transducers available.</w:t>
      </w:r>
      <w:proofErr w:type="gramEnd"/>
      <w:r>
        <w:rPr>
          <w:rFonts w:ascii="Arial" w:hAnsi="Arial" w:cs="Arial"/>
          <w:sz w:val="24"/>
          <w:szCs w:val="24"/>
        </w:rPr>
        <w:t xml:space="preserve"> Dop</w:t>
      </w:r>
      <w:r>
        <w:rPr>
          <w:rFonts w:ascii="Arial" w:hAnsi="Arial" w:cs="Arial"/>
          <w:sz w:val="24"/>
          <w:szCs w:val="24"/>
        </w:rPr>
        <w:t>pler frequencies of at least 5.0</w:t>
      </w:r>
      <w:r>
        <w:rPr>
          <w:rFonts w:ascii="Arial" w:hAnsi="Arial" w:cs="Arial"/>
          <w:sz w:val="24"/>
          <w:szCs w:val="24"/>
        </w:rPr>
        <w:t>MHz should be available, with colour Doppler capability.</w:t>
      </w:r>
    </w:p>
    <w:p w:rsidR="002A4153" w:rsidRDefault="002A4153" w:rsidP="002A4153">
      <w:pPr>
        <w:spacing w:line="240" w:lineRule="auto"/>
        <w:rPr>
          <w:rFonts w:ascii="Arial" w:hAnsi="Arial" w:cs="Arial"/>
          <w:sz w:val="24"/>
          <w:szCs w:val="24"/>
        </w:rPr>
      </w:pPr>
      <w:r>
        <w:rPr>
          <w:rFonts w:ascii="Arial" w:hAnsi="Arial" w:cs="Arial"/>
          <w:sz w:val="24"/>
          <w:szCs w:val="24"/>
        </w:rPr>
        <w:t xml:space="preserve"> Electrical safety testing is required annually, with regular maintenance and quality assurance testing to specified level by qualified personnel. Review of in-service equipment should typically be undertaken five years after installation</w:t>
      </w:r>
    </w:p>
    <w:p w:rsidR="002A4153" w:rsidRDefault="002A4153" w:rsidP="002A4153">
      <w:pPr>
        <w:spacing w:line="240" w:lineRule="auto"/>
        <w:rPr>
          <w:rFonts w:ascii="Arial" w:hAnsi="Arial" w:cs="Arial"/>
          <w:sz w:val="24"/>
          <w:szCs w:val="24"/>
        </w:rPr>
      </w:pPr>
      <w:r>
        <w:rPr>
          <w:rFonts w:ascii="Arial" w:hAnsi="Arial" w:cs="Arial"/>
          <w:sz w:val="24"/>
          <w:szCs w:val="24"/>
        </w:rPr>
        <w:t>Examination couch should be height adjustable preferably electrical. The CVS’s chair should provide good lumbar support, be height adjustable and allow for the CVS to move close to the examination couch.</w:t>
      </w:r>
    </w:p>
    <w:p w:rsidR="002A4153" w:rsidRDefault="002A4153" w:rsidP="002A4153">
      <w:pPr>
        <w:spacing w:line="240" w:lineRule="auto"/>
        <w:rPr>
          <w:rFonts w:ascii="Arial" w:hAnsi="Arial" w:cs="Arial"/>
          <w:sz w:val="24"/>
          <w:szCs w:val="24"/>
        </w:rPr>
      </w:pPr>
      <w:r>
        <w:rPr>
          <w:rFonts w:ascii="Arial" w:hAnsi="Arial" w:cs="Arial"/>
          <w:sz w:val="24"/>
          <w:szCs w:val="24"/>
        </w:rPr>
        <w:lastRenderedPageBreak/>
        <w:t>The examination room should be temperature controlled with adjustable lighting levels suitable for examination.</w:t>
      </w:r>
    </w:p>
    <w:p w:rsidR="002A4153" w:rsidRDefault="002A4153" w:rsidP="00B60CE5">
      <w:pPr>
        <w:rPr>
          <w:rFonts w:ascii="Arial" w:hAnsi="Arial" w:cs="Arial"/>
          <w:b/>
          <w:i/>
          <w:sz w:val="24"/>
          <w:szCs w:val="24"/>
          <w:u w:val="single"/>
        </w:rPr>
      </w:pPr>
    </w:p>
    <w:p w:rsidR="00C9548B" w:rsidRPr="00052B25" w:rsidRDefault="00C9548B" w:rsidP="00B60CE5">
      <w:pPr>
        <w:rPr>
          <w:rFonts w:ascii="Arial" w:hAnsi="Arial" w:cs="Arial"/>
          <w:b/>
          <w:i/>
          <w:sz w:val="24"/>
          <w:szCs w:val="24"/>
          <w:u w:val="single"/>
        </w:rPr>
      </w:pPr>
      <w:r w:rsidRPr="00052B25">
        <w:rPr>
          <w:rFonts w:ascii="Arial" w:hAnsi="Arial" w:cs="Arial"/>
          <w:b/>
          <w:i/>
          <w:sz w:val="24"/>
          <w:szCs w:val="24"/>
          <w:u w:val="single"/>
        </w:rPr>
        <w:t>TECHNIQUE:</w:t>
      </w:r>
    </w:p>
    <w:p w:rsidR="00C9548B" w:rsidRPr="00052B25" w:rsidRDefault="002A4153" w:rsidP="00B60CE5">
      <w:pPr>
        <w:rPr>
          <w:rFonts w:ascii="Arial" w:hAnsi="Arial" w:cs="Arial"/>
          <w:sz w:val="24"/>
          <w:szCs w:val="24"/>
        </w:rPr>
      </w:pPr>
      <w:r>
        <w:rPr>
          <w:rFonts w:ascii="Arial" w:hAnsi="Arial" w:cs="Arial"/>
          <w:sz w:val="24"/>
          <w:szCs w:val="24"/>
        </w:rPr>
        <w:t>Examination performed with a 7</w:t>
      </w:r>
      <w:r w:rsidR="00C9548B" w:rsidRPr="00052B25">
        <w:rPr>
          <w:rFonts w:ascii="Arial" w:hAnsi="Arial" w:cs="Arial"/>
          <w:sz w:val="24"/>
          <w:szCs w:val="24"/>
        </w:rPr>
        <w:t>MHz + linear array transducer (the higher the frequency the better resolution). If vessels are deep, use a lower frequency transducer. Set scanner to high velocities. Vessels best visualised through the sternocleidomastoid muscle which provides a good ultrasonic window using a lateral approach. The patient should ideally be lying down quite flat giving easy access to the neck.</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 xml:space="preserve">In B mode the CCA,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ECA should be visualised in a transverse section starting at the base of neck. On the right side it is possible to visualise the distal brachiocephalic artery and the origin of the CCA and subclavian arteries. The left CCA origin is rarely seen as it lies deep in the chest.</w:t>
      </w:r>
    </w:p>
    <w:p w:rsidR="00C9548B" w:rsidRPr="00052B25" w:rsidRDefault="00C9548B" w:rsidP="00B60CE5">
      <w:pPr>
        <w:pStyle w:val="ListParagraph"/>
        <w:numPr>
          <w:ilvl w:val="0"/>
          <w:numId w:val="2"/>
        </w:numPr>
        <w:ind w:left="0" w:firstLine="0"/>
        <w:rPr>
          <w:rFonts w:ascii="Arial" w:hAnsi="Arial" w:cs="Arial"/>
          <w:sz w:val="24"/>
          <w:szCs w:val="24"/>
        </w:rPr>
      </w:pPr>
      <w:r w:rsidRPr="00052B25">
        <w:rPr>
          <w:rFonts w:ascii="Arial" w:hAnsi="Arial" w:cs="Arial"/>
          <w:sz w:val="24"/>
          <w:szCs w:val="24"/>
        </w:rPr>
        <w:t xml:space="preserve">In B mode the CCA,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ECA should be visualised in longitudinal section.</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 xml:space="preserve">Observe any evidence of disease in B mode, measure intimal thickening and take images if required. </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 xml:space="preserve">Use colour flow to investigate the flow from the proximal CCA up into the distal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ECA. Identify the ECA branches, evidence of disease, velocity changes due to stenosis, area of filling defect due to presence of atheroma and absent flow due to occlusions. </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 xml:space="preserve">Use spectral Doppler with colour flow and place sample volume along the CCA,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ECA.</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 xml:space="preserve">Measure peak systolic (PSV) and end diastolic velocities (EDV) in the  CCA,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ECA including distal segments. Measure PSV and EDV at site of the maximum velocity within any stenosis to allow the degree of narrowing to be graded. Take images of the segments and velocity measurements.</w:t>
      </w:r>
    </w:p>
    <w:p w:rsidR="00C9548B" w:rsidRPr="00052B25" w:rsidRDefault="00C9548B" w:rsidP="00FE4D2C">
      <w:pPr>
        <w:pStyle w:val="ListParagraph"/>
        <w:numPr>
          <w:ilvl w:val="0"/>
          <w:numId w:val="2"/>
        </w:numPr>
        <w:rPr>
          <w:rFonts w:ascii="Arial" w:hAnsi="Arial" w:cs="Arial"/>
          <w:sz w:val="24"/>
          <w:szCs w:val="24"/>
        </w:rPr>
      </w:pPr>
      <w:r w:rsidRPr="00052B25">
        <w:rPr>
          <w:rFonts w:ascii="Arial" w:hAnsi="Arial" w:cs="Arial"/>
          <w:sz w:val="24"/>
          <w:szCs w:val="24"/>
        </w:rPr>
        <w:t>Draw and describe plaque type in the vessels with any significant velocity increase (as recommended by the Joint Working Group 2009 which enables an immediate visual indication of disease, severity and location).</w:t>
      </w:r>
    </w:p>
    <w:p w:rsidR="00C9548B" w:rsidRPr="00052B25" w:rsidRDefault="00C9548B" w:rsidP="00B60CE5">
      <w:pPr>
        <w:pStyle w:val="ListParagraph"/>
        <w:numPr>
          <w:ilvl w:val="0"/>
          <w:numId w:val="2"/>
        </w:numPr>
        <w:ind w:left="0" w:firstLine="0"/>
        <w:rPr>
          <w:rFonts w:ascii="Arial" w:hAnsi="Arial" w:cs="Arial"/>
          <w:sz w:val="24"/>
          <w:szCs w:val="24"/>
        </w:rPr>
      </w:pPr>
      <w:r w:rsidRPr="00052B25">
        <w:rPr>
          <w:rFonts w:ascii="Arial" w:hAnsi="Arial" w:cs="Arial"/>
          <w:sz w:val="24"/>
          <w:szCs w:val="24"/>
        </w:rPr>
        <w:t>Include any limitation of the scan in the report.</w:t>
      </w:r>
    </w:p>
    <w:p w:rsidR="00C9548B" w:rsidRPr="00052B25" w:rsidRDefault="00C9548B" w:rsidP="00B60CE5">
      <w:pPr>
        <w:pStyle w:val="ListParagraph"/>
        <w:numPr>
          <w:ilvl w:val="0"/>
          <w:numId w:val="2"/>
        </w:numPr>
        <w:ind w:left="0" w:firstLine="0"/>
        <w:rPr>
          <w:rFonts w:ascii="Arial" w:hAnsi="Arial" w:cs="Arial"/>
          <w:sz w:val="24"/>
          <w:szCs w:val="24"/>
        </w:rPr>
      </w:pPr>
      <w:r w:rsidRPr="00052B25">
        <w:rPr>
          <w:rFonts w:ascii="Arial" w:hAnsi="Arial" w:cs="Arial"/>
          <w:sz w:val="24"/>
          <w:szCs w:val="24"/>
        </w:rPr>
        <w:t>This procedure should be carried out bilaterally</w:t>
      </w:r>
    </w:p>
    <w:p w:rsidR="00C9548B" w:rsidRPr="00052B25" w:rsidRDefault="00C9548B" w:rsidP="00B60CE5">
      <w:pPr>
        <w:rPr>
          <w:rFonts w:ascii="Arial" w:hAnsi="Arial" w:cs="Arial"/>
          <w:b/>
          <w:i/>
          <w:sz w:val="24"/>
          <w:szCs w:val="24"/>
          <w:u w:val="single"/>
        </w:rPr>
      </w:pPr>
      <w:r w:rsidRPr="00052B25">
        <w:rPr>
          <w:rFonts w:ascii="Arial" w:hAnsi="Arial" w:cs="Arial"/>
          <w:b/>
          <w:i/>
          <w:sz w:val="24"/>
          <w:szCs w:val="24"/>
          <w:u w:val="single"/>
        </w:rPr>
        <w:t>GRADING THE STENOSIS:</w:t>
      </w:r>
    </w:p>
    <w:p w:rsidR="00C9548B" w:rsidRPr="00052B25" w:rsidRDefault="00C9548B" w:rsidP="00B60CE5">
      <w:pPr>
        <w:rPr>
          <w:rFonts w:ascii="Arial" w:hAnsi="Arial" w:cs="Arial"/>
          <w:sz w:val="24"/>
          <w:szCs w:val="24"/>
        </w:rPr>
      </w:pPr>
      <w:r w:rsidRPr="00052B25">
        <w:rPr>
          <w:rFonts w:ascii="Arial" w:hAnsi="Arial" w:cs="Arial"/>
          <w:sz w:val="24"/>
          <w:szCs w:val="24"/>
        </w:rPr>
        <w:t xml:space="preserve">Grading of stenosis is described in terms of diameter reduction. Velocity criteria are used to grade the degree of stenosis once the vessel has become narrowed by </w:t>
      </w:r>
      <w:r w:rsidRPr="00052B25">
        <w:rPr>
          <w:rFonts w:ascii="Arial" w:hAnsi="Arial" w:cs="Arial"/>
          <w:b/>
          <w:sz w:val="24"/>
          <w:szCs w:val="24"/>
        </w:rPr>
        <w:t xml:space="preserve">&gt;50%. </w:t>
      </w:r>
      <w:r w:rsidRPr="00052B25">
        <w:rPr>
          <w:rFonts w:ascii="Arial" w:hAnsi="Arial" w:cs="Arial"/>
          <w:sz w:val="24"/>
          <w:szCs w:val="24"/>
        </w:rPr>
        <w:t>To calculate the degree of stenosis the following criteria is used as recommended by the Joint Working Group and UKAS guidelines :</w:t>
      </w:r>
    </w:p>
    <w:p w:rsidR="00C9548B" w:rsidRPr="00052B25" w:rsidRDefault="00C9548B" w:rsidP="00B60CE5">
      <w:pPr>
        <w:pStyle w:val="ListParagraph"/>
        <w:numPr>
          <w:ilvl w:val="0"/>
          <w:numId w:val="3"/>
        </w:numPr>
        <w:ind w:left="0" w:firstLine="0"/>
        <w:rPr>
          <w:rFonts w:ascii="Arial" w:hAnsi="Arial" w:cs="Arial"/>
          <w:sz w:val="24"/>
          <w:szCs w:val="24"/>
        </w:rPr>
      </w:pPr>
      <w:r w:rsidRPr="00052B25">
        <w:rPr>
          <w:rFonts w:ascii="Arial" w:hAnsi="Arial" w:cs="Arial"/>
          <w:sz w:val="24"/>
          <w:szCs w:val="24"/>
        </w:rPr>
        <w:t xml:space="preserve">PSV and EDV taken in the CCA and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and across the maximum point of any stenosis. </w:t>
      </w:r>
    </w:p>
    <w:p w:rsidR="00C9548B" w:rsidRDefault="00C9548B" w:rsidP="00B60CE5">
      <w:pPr>
        <w:pStyle w:val="ListParagraph"/>
        <w:numPr>
          <w:ilvl w:val="0"/>
          <w:numId w:val="3"/>
        </w:numPr>
        <w:ind w:left="0" w:firstLine="0"/>
        <w:rPr>
          <w:rFonts w:ascii="Arial" w:hAnsi="Arial" w:cs="Arial"/>
          <w:sz w:val="24"/>
          <w:szCs w:val="24"/>
        </w:rPr>
      </w:pPr>
      <w:r w:rsidRPr="00052B25">
        <w:rPr>
          <w:rFonts w:ascii="Arial" w:hAnsi="Arial" w:cs="Arial"/>
          <w:sz w:val="24"/>
          <w:szCs w:val="24"/>
        </w:rPr>
        <w:t>Calculate velocity ratios of either ICAPSV/CCAPSV and/or ICAPSV/CCAEDV.</w:t>
      </w:r>
    </w:p>
    <w:p w:rsidR="00A930F4" w:rsidRDefault="00A930F4" w:rsidP="00A930F4">
      <w:pPr>
        <w:pStyle w:val="ListParagraph"/>
        <w:ind w:left="0"/>
        <w:rPr>
          <w:rFonts w:ascii="Arial" w:hAnsi="Arial" w:cs="Arial"/>
          <w:sz w:val="24"/>
          <w:szCs w:val="24"/>
        </w:rPr>
      </w:pPr>
    </w:p>
    <w:p w:rsidR="002A4153" w:rsidRDefault="002A4153" w:rsidP="00A930F4">
      <w:pPr>
        <w:pStyle w:val="ListParagraph"/>
        <w:ind w:left="0"/>
        <w:rPr>
          <w:rFonts w:ascii="Arial" w:hAnsi="Arial" w:cs="Arial"/>
          <w:sz w:val="24"/>
          <w:szCs w:val="24"/>
        </w:rPr>
      </w:pPr>
    </w:p>
    <w:p w:rsidR="00A930F4" w:rsidRPr="00A930F4" w:rsidRDefault="00A930F4" w:rsidP="00A930F4">
      <w:pPr>
        <w:pStyle w:val="ListParagraph"/>
        <w:ind w:left="0"/>
        <w:rPr>
          <w:rFonts w:ascii="Arial" w:hAnsi="Arial" w:cs="Arial"/>
          <w:b/>
          <w:sz w:val="24"/>
          <w:szCs w:val="24"/>
        </w:rPr>
      </w:pPr>
      <w:r w:rsidRPr="00A930F4">
        <w:rPr>
          <w:rFonts w:ascii="Arial" w:hAnsi="Arial" w:cs="Arial"/>
          <w:b/>
          <w:sz w:val="24"/>
          <w:szCs w:val="24"/>
        </w:rPr>
        <w:t>Professional Standards Committee – SVT Recommendations</w:t>
      </w:r>
      <w:r w:rsidR="000C274E">
        <w:rPr>
          <w:rFonts w:ascii="Arial" w:hAnsi="Arial" w:cs="Arial"/>
          <w:b/>
          <w:sz w:val="24"/>
          <w:szCs w:val="24"/>
        </w:rPr>
        <w:t xml:space="preserve"> (Tim </w:t>
      </w:r>
      <w:proofErr w:type="spellStart"/>
      <w:r w:rsidR="000C274E">
        <w:rPr>
          <w:rFonts w:ascii="Arial" w:hAnsi="Arial" w:cs="Arial"/>
          <w:b/>
          <w:sz w:val="24"/>
          <w:szCs w:val="24"/>
        </w:rPr>
        <w:t>Hartshorn</w:t>
      </w:r>
      <w:proofErr w:type="spellEnd"/>
      <w:r w:rsidR="000C274E">
        <w:rPr>
          <w:rFonts w:ascii="Arial" w:hAnsi="Arial" w:cs="Arial"/>
          <w:b/>
          <w:sz w:val="24"/>
          <w:szCs w:val="24"/>
        </w:rPr>
        <w:t xml:space="preserve"> – SVT Magazine)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C274E" w:rsidRPr="000C274E" w:rsidTr="000C274E">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Percentage stenosis NASCET</w:t>
            </w:r>
          </w:p>
        </w:tc>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ICA Peak systolic velocity cm/sec</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ICA PSV/CCA PSV ratio</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ICA PSV/CCA EDV ratio</w:t>
            </w:r>
          </w:p>
        </w:tc>
      </w:tr>
      <w:tr w:rsidR="000C274E" w:rsidRPr="000C274E" w:rsidTr="000C274E">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&lt;50</w:t>
            </w:r>
          </w:p>
        </w:tc>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&lt;125</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&lt;2</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&lt;8</w:t>
            </w:r>
          </w:p>
        </w:tc>
      </w:tr>
      <w:tr w:rsidR="000C274E" w:rsidRPr="000C274E" w:rsidTr="000C274E">
        <w:tc>
          <w:tcPr>
            <w:tcW w:w="2310"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50-59</w:t>
            </w:r>
          </w:p>
        </w:tc>
        <w:tc>
          <w:tcPr>
            <w:tcW w:w="2310" w:type="dxa"/>
            <w:vMerge w:val="restart"/>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&gt;125</w:t>
            </w:r>
          </w:p>
        </w:tc>
        <w:tc>
          <w:tcPr>
            <w:tcW w:w="2311" w:type="dxa"/>
            <w:vMerge w:val="restart"/>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2-4</w:t>
            </w:r>
          </w:p>
        </w:tc>
        <w:tc>
          <w:tcPr>
            <w:tcW w:w="2311"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8-10</w:t>
            </w:r>
          </w:p>
        </w:tc>
      </w:tr>
      <w:tr w:rsidR="000C274E" w:rsidRPr="000C274E" w:rsidTr="000C274E">
        <w:tc>
          <w:tcPr>
            <w:tcW w:w="2310"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60-69</w:t>
            </w:r>
          </w:p>
        </w:tc>
        <w:tc>
          <w:tcPr>
            <w:tcW w:w="2310" w:type="dxa"/>
            <w:vMerge/>
            <w:shd w:val="clear" w:color="auto" w:fill="auto"/>
          </w:tcPr>
          <w:p w:rsidR="002A4153" w:rsidRPr="000C274E" w:rsidRDefault="002A4153" w:rsidP="00B60CE5">
            <w:pPr>
              <w:rPr>
                <w:rFonts w:ascii="Arial" w:hAnsi="Arial" w:cs="Arial"/>
                <w:b/>
                <w:sz w:val="24"/>
                <w:szCs w:val="24"/>
                <w:highlight w:val="yellow"/>
              </w:rPr>
            </w:pPr>
          </w:p>
        </w:tc>
        <w:tc>
          <w:tcPr>
            <w:tcW w:w="2311" w:type="dxa"/>
            <w:vMerge/>
            <w:shd w:val="clear" w:color="auto" w:fill="auto"/>
          </w:tcPr>
          <w:p w:rsidR="002A4153" w:rsidRPr="000C274E" w:rsidRDefault="002A4153" w:rsidP="00B60CE5">
            <w:pPr>
              <w:rPr>
                <w:rFonts w:ascii="Arial" w:hAnsi="Arial" w:cs="Arial"/>
                <w:b/>
                <w:sz w:val="24"/>
                <w:szCs w:val="24"/>
                <w:highlight w:val="yellow"/>
              </w:rPr>
            </w:pPr>
          </w:p>
        </w:tc>
        <w:tc>
          <w:tcPr>
            <w:tcW w:w="2311"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11-13</w:t>
            </w:r>
          </w:p>
        </w:tc>
      </w:tr>
      <w:tr w:rsidR="000C274E" w:rsidRPr="000C274E" w:rsidTr="000C274E">
        <w:tc>
          <w:tcPr>
            <w:tcW w:w="2310"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70-79</w:t>
            </w:r>
          </w:p>
        </w:tc>
        <w:tc>
          <w:tcPr>
            <w:tcW w:w="2310" w:type="dxa"/>
            <w:vMerge w:val="restart"/>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&gt;230</w:t>
            </w:r>
          </w:p>
        </w:tc>
        <w:tc>
          <w:tcPr>
            <w:tcW w:w="2311" w:type="dxa"/>
            <w:vMerge w:val="restart"/>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&gt;4</w:t>
            </w:r>
          </w:p>
        </w:tc>
        <w:tc>
          <w:tcPr>
            <w:tcW w:w="2311"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14-21</w:t>
            </w:r>
          </w:p>
        </w:tc>
      </w:tr>
      <w:tr w:rsidR="000C274E" w:rsidRPr="000C274E" w:rsidTr="000C274E">
        <w:tc>
          <w:tcPr>
            <w:tcW w:w="2310"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80-89</w:t>
            </w:r>
          </w:p>
        </w:tc>
        <w:tc>
          <w:tcPr>
            <w:tcW w:w="2310" w:type="dxa"/>
            <w:vMerge/>
            <w:shd w:val="clear" w:color="auto" w:fill="auto"/>
          </w:tcPr>
          <w:p w:rsidR="002A4153" w:rsidRPr="000C274E" w:rsidRDefault="002A4153" w:rsidP="00B60CE5">
            <w:pPr>
              <w:rPr>
                <w:rFonts w:ascii="Arial" w:hAnsi="Arial" w:cs="Arial"/>
                <w:b/>
                <w:sz w:val="24"/>
                <w:szCs w:val="24"/>
                <w:highlight w:val="yellow"/>
              </w:rPr>
            </w:pPr>
          </w:p>
        </w:tc>
        <w:tc>
          <w:tcPr>
            <w:tcW w:w="2311" w:type="dxa"/>
            <w:vMerge/>
            <w:shd w:val="clear" w:color="auto" w:fill="auto"/>
          </w:tcPr>
          <w:p w:rsidR="002A4153" w:rsidRPr="000C274E" w:rsidRDefault="002A4153" w:rsidP="00B60CE5">
            <w:pPr>
              <w:rPr>
                <w:rFonts w:ascii="Arial" w:hAnsi="Arial" w:cs="Arial"/>
                <w:b/>
                <w:sz w:val="24"/>
                <w:szCs w:val="24"/>
                <w:highlight w:val="yellow"/>
              </w:rPr>
            </w:pPr>
          </w:p>
        </w:tc>
        <w:tc>
          <w:tcPr>
            <w:tcW w:w="2311" w:type="dxa"/>
            <w:shd w:val="clear" w:color="auto" w:fill="auto"/>
          </w:tcPr>
          <w:p w:rsidR="002A4153" w:rsidRPr="000C274E" w:rsidRDefault="002A4153" w:rsidP="00B60CE5">
            <w:pPr>
              <w:rPr>
                <w:rFonts w:ascii="Arial" w:hAnsi="Arial" w:cs="Arial"/>
                <w:b/>
                <w:sz w:val="24"/>
                <w:szCs w:val="24"/>
                <w:highlight w:val="yellow"/>
              </w:rPr>
            </w:pPr>
            <w:r w:rsidRPr="000C274E">
              <w:rPr>
                <w:rFonts w:ascii="Arial" w:hAnsi="Arial" w:cs="Arial"/>
                <w:b/>
                <w:sz w:val="24"/>
                <w:szCs w:val="24"/>
                <w:highlight w:val="yellow"/>
              </w:rPr>
              <w:t>22-34</w:t>
            </w:r>
          </w:p>
        </w:tc>
      </w:tr>
      <w:tr w:rsidR="000C274E" w:rsidRPr="000C274E" w:rsidTr="000C274E">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&gt;90 but less than near occlusion</w:t>
            </w:r>
          </w:p>
        </w:tc>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&gt;400</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&gt;5</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&gt;35</w:t>
            </w:r>
          </w:p>
        </w:tc>
      </w:tr>
      <w:tr w:rsidR="000C274E" w:rsidRPr="000C274E" w:rsidTr="000C274E">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Near Occlusion</w:t>
            </w:r>
          </w:p>
        </w:tc>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High, low or string flow</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Variable</w:t>
            </w:r>
          </w:p>
        </w:tc>
        <w:tc>
          <w:tcPr>
            <w:tcW w:w="2311" w:type="dxa"/>
            <w:shd w:val="clear" w:color="auto" w:fill="auto"/>
          </w:tcPr>
          <w:p w:rsidR="00A930F4" w:rsidRPr="000C274E" w:rsidRDefault="00A930F4" w:rsidP="00A930F4">
            <w:pPr>
              <w:rPr>
                <w:rFonts w:ascii="Arial" w:hAnsi="Arial" w:cs="Arial"/>
                <w:b/>
                <w:sz w:val="24"/>
                <w:szCs w:val="24"/>
                <w:highlight w:val="yellow"/>
              </w:rPr>
            </w:pPr>
            <w:r w:rsidRPr="000C274E">
              <w:rPr>
                <w:rFonts w:ascii="Arial" w:hAnsi="Arial" w:cs="Arial"/>
                <w:b/>
                <w:sz w:val="24"/>
                <w:szCs w:val="24"/>
                <w:highlight w:val="yellow"/>
              </w:rPr>
              <w:t>Variable</w:t>
            </w:r>
          </w:p>
        </w:tc>
      </w:tr>
      <w:tr w:rsidR="000C274E" w:rsidRPr="000C274E" w:rsidTr="000C274E">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Occlusion</w:t>
            </w:r>
          </w:p>
        </w:tc>
        <w:tc>
          <w:tcPr>
            <w:tcW w:w="2310"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No flow</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Not applicable</w:t>
            </w:r>
          </w:p>
        </w:tc>
        <w:tc>
          <w:tcPr>
            <w:tcW w:w="2311" w:type="dxa"/>
            <w:shd w:val="clear" w:color="auto" w:fill="auto"/>
          </w:tcPr>
          <w:p w:rsidR="00A930F4" w:rsidRPr="000C274E" w:rsidRDefault="00A930F4" w:rsidP="00B60CE5">
            <w:pPr>
              <w:rPr>
                <w:rFonts w:ascii="Arial" w:hAnsi="Arial" w:cs="Arial"/>
                <w:b/>
                <w:sz w:val="24"/>
                <w:szCs w:val="24"/>
                <w:highlight w:val="yellow"/>
              </w:rPr>
            </w:pPr>
            <w:r w:rsidRPr="000C274E">
              <w:rPr>
                <w:rFonts w:ascii="Arial" w:hAnsi="Arial" w:cs="Arial"/>
                <w:b/>
                <w:sz w:val="24"/>
                <w:szCs w:val="24"/>
                <w:highlight w:val="yellow"/>
              </w:rPr>
              <w:t>Not applicable</w:t>
            </w:r>
          </w:p>
        </w:tc>
      </w:tr>
    </w:tbl>
    <w:p w:rsidR="00C9548B" w:rsidRPr="00052B25" w:rsidRDefault="00C9548B" w:rsidP="00B60CE5">
      <w:pPr>
        <w:rPr>
          <w:rFonts w:ascii="Arial" w:hAnsi="Arial" w:cs="Arial"/>
          <w:b/>
          <w:sz w:val="24"/>
          <w:szCs w:val="24"/>
          <w:highlight w:val="yellow"/>
        </w:rPr>
      </w:pPr>
    </w:p>
    <w:p w:rsidR="00C9548B" w:rsidRPr="00052B25" w:rsidRDefault="00C9548B" w:rsidP="00B60CE5">
      <w:pPr>
        <w:rPr>
          <w:rFonts w:ascii="Arial" w:hAnsi="Arial" w:cs="Arial"/>
          <w:b/>
          <w:sz w:val="24"/>
          <w:szCs w:val="24"/>
        </w:rPr>
      </w:pPr>
    </w:p>
    <w:p w:rsidR="00C9548B" w:rsidRPr="00052B25" w:rsidRDefault="00C9548B" w:rsidP="00B60CE5">
      <w:pPr>
        <w:rPr>
          <w:rFonts w:ascii="Arial" w:hAnsi="Arial" w:cs="Arial"/>
          <w:b/>
          <w:i/>
          <w:sz w:val="24"/>
          <w:szCs w:val="24"/>
          <w:u w:val="single"/>
        </w:rPr>
      </w:pPr>
      <w:r w:rsidRPr="00052B25">
        <w:rPr>
          <w:rFonts w:ascii="Arial" w:hAnsi="Arial" w:cs="Arial"/>
          <w:b/>
          <w:i/>
          <w:sz w:val="24"/>
          <w:szCs w:val="24"/>
          <w:u w:val="single"/>
        </w:rPr>
        <w:t>PROBLEMS ENCOUNTERED:</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Calcified atheroma at the bifurcation can lead to significant shadowing on the image which can cause problems with the grading.</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Large plaques in a wide carotid bulb. PSV may be below 70% NASCET. Diameter of residual volume should be compared with the total diameter of the bulb.</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Vessel tortuosity can be a problem as vessels may not appear in a single plane but colour Doppler will help in identifying the vessels.</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Older patients have loss of cerebrovascular compliance with associated stiffening of arterial walls which can result in abnormal high velocities bilateral with very low diastole velocities. Use velocity ratios.</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Abnormal waveforms with absent or decreased CCA end diastole bilaterally. This indicates presence of inflow disease or aortic valve regurgitation and makes velocities and ratio calculations unreliable.</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 xml:space="preserve">PSV across an </w:t>
      </w:r>
      <w:smartTag w:uri="urn:schemas-microsoft-com:office:smarttags" w:element="City">
        <w:r w:rsidRPr="00052B25">
          <w:rPr>
            <w:rFonts w:ascii="Arial" w:hAnsi="Arial" w:cs="Arial"/>
            <w:sz w:val="24"/>
            <w:szCs w:val="24"/>
          </w:rPr>
          <w:t>ICA</w:t>
        </w:r>
      </w:smartTag>
      <w:r w:rsidRPr="00052B25">
        <w:rPr>
          <w:rFonts w:ascii="Arial" w:hAnsi="Arial" w:cs="Arial"/>
          <w:sz w:val="24"/>
          <w:szCs w:val="24"/>
        </w:rPr>
        <w:t xml:space="preserve"> stenosis may be elevated in the presence of a significant contra-lateral stenosis/occlusion. Velocity ratios are more reliable. </w:t>
      </w:r>
    </w:p>
    <w:p w:rsidR="00C9548B" w:rsidRPr="00052B25" w:rsidRDefault="00C9548B" w:rsidP="00B60CE5">
      <w:pPr>
        <w:pStyle w:val="ListParagraph"/>
        <w:numPr>
          <w:ilvl w:val="0"/>
          <w:numId w:val="4"/>
        </w:numPr>
        <w:ind w:left="0" w:firstLine="0"/>
        <w:rPr>
          <w:rFonts w:ascii="Arial" w:hAnsi="Arial" w:cs="Arial"/>
          <w:sz w:val="24"/>
          <w:szCs w:val="24"/>
        </w:rPr>
      </w:pPr>
      <w:r w:rsidRPr="00052B25">
        <w:rPr>
          <w:rFonts w:ascii="Arial" w:hAnsi="Arial" w:cs="Arial"/>
          <w:sz w:val="24"/>
          <w:szCs w:val="24"/>
        </w:rPr>
        <w:t xml:space="preserve">Non- </w:t>
      </w:r>
      <w:proofErr w:type="spellStart"/>
      <w:r w:rsidRPr="00052B25">
        <w:rPr>
          <w:rFonts w:ascii="Arial" w:hAnsi="Arial" w:cs="Arial"/>
          <w:sz w:val="24"/>
          <w:szCs w:val="24"/>
        </w:rPr>
        <w:t>atheromatous</w:t>
      </w:r>
      <w:proofErr w:type="spellEnd"/>
      <w:r w:rsidRPr="00052B25">
        <w:rPr>
          <w:rFonts w:ascii="Arial" w:hAnsi="Arial" w:cs="Arial"/>
          <w:sz w:val="24"/>
          <w:szCs w:val="24"/>
        </w:rPr>
        <w:t xml:space="preserve"> extra cranial carotid vessels included aneurysm, carotid body tumours and dissection.</w:t>
      </w:r>
    </w:p>
    <w:p w:rsidR="00C9548B" w:rsidRPr="00052B25" w:rsidRDefault="00C9548B" w:rsidP="00B60CE5">
      <w:pPr>
        <w:pStyle w:val="ListParagraph"/>
        <w:widowControl w:val="0"/>
        <w:numPr>
          <w:ilvl w:val="0"/>
          <w:numId w:val="9"/>
        </w:numPr>
        <w:autoSpaceDE w:val="0"/>
        <w:autoSpaceDN w:val="0"/>
        <w:adjustRightInd w:val="0"/>
        <w:spacing w:after="240"/>
        <w:ind w:left="0" w:firstLine="0"/>
        <w:rPr>
          <w:rFonts w:ascii="Arial" w:hAnsi="Arial" w:cs="Arial"/>
          <w:sz w:val="24"/>
          <w:szCs w:val="24"/>
          <w:lang w:val="en-US"/>
        </w:rPr>
      </w:pPr>
    </w:p>
    <w:p w:rsidR="00C9548B" w:rsidRPr="00052B25" w:rsidRDefault="00C9548B" w:rsidP="00B60CE5">
      <w:pPr>
        <w:rPr>
          <w:rFonts w:ascii="Arial" w:hAnsi="Arial" w:cs="Arial"/>
          <w:b/>
          <w:color w:val="000000"/>
          <w:sz w:val="24"/>
          <w:szCs w:val="24"/>
        </w:rPr>
      </w:pPr>
      <w:r w:rsidRPr="00052B25">
        <w:rPr>
          <w:rFonts w:ascii="Arial" w:hAnsi="Arial" w:cs="Arial"/>
          <w:b/>
          <w:color w:val="000000"/>
          <w:sz w:val="24"/>
          <w:szCs w:val="24"/>
          <w:highlight w:val="yellow"/>
        </w:rPr>
        <w:lastRenderedPageBreak/>
        <w:t>Symptomatic patients with &gt;50% stenosis should be referred to the Vascular Surgeon on call immediately. Please phone vascular secretaries or bleep surgeon on call. Inform stroke physician.  Document if patient has been referred.</w:t>
      </w:r>
      <w:r w:rsidRPr="00052B25">
        <w:rPr>
          <w:rFonts w:ascii="Arial" w:hAnsi="Arial" w:cs="Arial"/>
          <w:b/>
          <w:color w:val="000000"/>
          <w:sz w:val="24"/>
          <w:szCs w:val="24"/>
        </w:rPr>
        <w:t xml:space="preserve">  </w:t>
      </w:r>
    </w:p>
    <w:p w:rsidR="00C9548B" w:rsidRPr="000C274E" w:rsidRDefault="00C9548B" w:rsidP="00B60CE5">
      <w:pPr>
        <w:rPr>
          <w:rFonts w:ascii="Arial" w:hAnsi="Arial" w:cs="Arial"/>
          <w:b/>
          <w:i/>
          <w:sz w:val="24"/>
          <w:szCs w:val="24"/>
          <w:u w:val="single"/>
        </w:rPr>
      </w:pPr>
      <w:r w:rsidRPr="000C274E">
        <w:rPr>
          <w:rFonts w:ascii="Arial" w:hAnsi="Arial" w:cs="Arial"/>
          <w:b/>
          <w:i/>
          <w:sz w:val="24"/>
          <w:szCs w:val="24"/>
          <w:u w:val="single"/>
        </w:rPr>
        <w:t>REFERENCES:</w:t>
      </w:r>
      <w:bookmarkStart w:id="0" w:name="_GoBack"/>
      <w:bookmarkEnd w:id="0"/>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Physiological measurement service specifications SVT</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 xml:space="preserve">Joint recommendations for reporting ultrasound investigations in the UK 2009 (Oates et al Euro J </w:t>
      </w:r>
      <w:proofErr w:type="spellStart"/>
      <w:r w:rsidRPr="00052B25">
        <w:rPr>
          <w:rFonts w:ascii="Arial" w:hAnsi="Arial" w:cs="Arial"/>
          <w:sz w:val="20"/>
          <w:szCs w:val="20"/>
        </w:rPr>
        <w:t>Vasc</w:t>
      </w:r>
      <w:proofErr w:type="spellEnd"/>
      <w:r w:rsidRPr="00052B25">
        <w:rPr>
          <w:rFonts w:ascii="Arial" w:hAnsi="Arial" w:cs="Arial"/>
          <w:sz w:val="20"/>
          <w:szCs w:val="20"/>
        </w:rPr>
        <w:t xml:space="preserve"> </w:t>
      </w:r>
      <w:proofErr w:type="spellStart"/>
      <w:r w:rsidRPr="00052B25">
        <w:rPr>
          <w:rFonts w:ascii="Arial" w:hAnsi="Arial" w:cs="Arial"/>
          <w:sz w:val="20"/>
          <w:szCs w:val="20"/>
        </w:rPr>
        <w:t>Endovasc</w:t>
      </w:r>
      <w:proofErr w:type="spellEnd"/>
      <w:r w:rsidRPr="00052B25">
        <w:rPr>
          <w:rFonts w:ascii="Arial" w:hAnsi="Arial" w:cs="Arial"/>
          <w:sz w:val="20"/>
          <w:szCs w:val="20"/>
        </w:rPr>
        <w:t xml:space="preserve"> </w:t>
      </w:r>
      <w:proofErr w:type="spellStart"/>
      <w:r w:rsidRPr="00052B25">
        <w:rPr>
          <w:rFonts w:ascii="Arial" w:hAnsi="Arial" w:cs="Arial"/>
          <w:sz w:val="20"/>
          <w:szCs w:val="20"/>
        </w:rPr>
        <w:t>Surg</w:t>
      </w:r>
      <w:proofErr w:type="spellEnd"/>
      <w:r w:rsidRPr="00052B25">
        <w:rPr>
          <w:rFonts w:ascii="Arial" w:hAnsi="Arial" w:cs="Arial"/>
          <w:sz w:val="20"/>
          <w:szCs w:val="20"/>
        </w:rPr>
        <w:t>))</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Professional Standards Committee Update  UKAS 2010</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Vascular Lab practices books  2006</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ECST Collaborative Group 1998</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NASCET Collaborators 1991</w:t>
      </w:r>
    </w:p>
    <w:p w:rsidR="00C9548B" w:rsidRPr="00052B25" w:rsidRDefault="00C9548B" w:rsidP="00B60CE5">
      <w:pPr>
        <w:pStyle w:val="ListParagraph"/>
        <w:numPr>
          <w:ilvl w:val="0"/>
          <w:numId w:val="5"/>
        </w:numPr>
        <w:ind w:left="0" w:firstLine="0"/>
        <w:rPr>
          <w:rFonts w:ascii="Arial" w:hAnsi="Arial" w:cs="Arial"/>
          <w:sz w:val="20"/>
          <w:szCs w:val="20"/>
        </w:rPr>
      </w:pPr>
      <w:r w:rsidRPr="00052B25">
        <w:rPr>
          <w:rFonts w:ascii="Arial" w:hAnsi="Arial" w:cs="Arial"/>
          <w:sz w:val="20"/>
          <w:szCs w:val="20"/>
        </w:rPr>
        <w:t>Thrush A, Hartshorne T,  Ultrasound assessment of the extra cranial cerebral circulation</w:t>
      </w:r>
    </w:p>
    <w:sectPr w:rsidR="00C9548B" w:rsidRPr="00052B25" w:rsidSect="00B6397E">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AF0778"/>
    <w:multiLevelType w:val="hybridMultilevel"/>
    <w:tmpl w:val="0EA082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CA41645"/>
    <w:multiLevelType w:val="hybridMultilevel"/>
    <w:tmpl w:val="DEA62D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33A4F0A"/>
    <w:multiLevelType w:val="hybridMultilevel"/>
    <w:tmpl w:val="8FB0F8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7D40B82"/>
    <w:multiLevelType w:val="hybridMultilevel"/>
    <w:tmpl w:val="058C1C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AA45FD7"/>
    <w:multiLevelType w:val="hybridMultilevel"/>
    <w:tmpl w:val="42C85F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62AB7344"/>
    <w:multiLevelType w:val="hybridMultilevel"/>
    <w:tmpl w:val="8AAC6078"/>
    <w:lvl w:ilvl="0" w:tplc="79F40E2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6DE10DC2"/>
    <w:multiLevelType w:val="hybridMultilevel"/>
    <w:tmpl w:val="668EE0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8"/>
  </w:num>
  <w:num w:numId="3">
    <w:abstractNumId w:val="5"/>
  </w:num>
  <w:num w:numId="4">
    <w:abstractNumId w:val="7"/>
  </w:num>
  <w:num w:numId="5">
    <w:abstractNumId w:val="9"/>
  </w:num>
  <w:num w:numId="6">
    <w:abstractNumId w:val="4"/>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F78"/>
    <w:rsid w:val="000205BB"/>
    <w:rsid w:val="0002489E"/>
    <w:rsid w:val="00052B25"/>
    <w:rsid w:val="00080BF4"/>
    <w:rsid w:val="00082048"/>
    <w:rsid w:val="000C24E3"/>
    <w:rsid w:val="000C274E"/>
    <w:rsid w:val="001E2434"/>
    <w:rsid w:val="002A4153"/>
    <w:rsid w:val="002C08FC"/>
    <w:rsid w:val="002F7EC5"/>
    <w:rsid w:val="00524A70"/>
    <w:rsid w:val="005D5434"/>
    <w:rsid w:val="007C69FA"/>
    <w:rsid w:val="008528C8"/>
    <w:rsid w:val="008A0966"/>
    <w:rsid w:val="008E2AAB"/>
    <w:rsid w:val="0094612C"/>
    <w:rsid w:val="0094742D"/>
    <w:rsid w:val="00971DB6"/>
    <w:rsid w:val="009C554A"/>
    <w:rsid w:val="009E33FE"/>
    <w:rsid w:val="009E7FD6"/>
    <w:rsid w:val="009F616F"/>
    <w:rsid w:val="00A841E3"/>
    <w:rsid w:val="00A930F4"/>
    <w:rsid w:val="00AE1A85"/>
    <w:rsid w:val="00B60CE5"/>
    <w:rsid w:val="00B6397E"/>
    <w:rsid w:val="00B92DFF"/>
    <w:rsid w:val="00BA3471"/>
    <w:rsid w:val="00BB09F6"/>
    <w:rsid w:val="00BF3C1F"/>
    <w:rsid w:val="00C11FB7"/>
    <w:rsid w:val="00C50CF3"/>
    <w:rsid w:val="00C51F03"/>
    <w:rsid w:val="00C80857"/>
    <w:rsid w:val="00C9548B"/>
    <w:rsid w:val="00CF5123"/>
    <w:rsid w:val="00D54816"/>
    <w:rsid w:val="00D84EE4"/>
    <w:rsid w:val="00DC4AB4"/>
    <w:rsid w:val="00DE4D33"/>
    <w:rsid w:val="00DF0B16"/>
    <w:rsid w:val="00E12C98"/>
    <w:rsid w:val="00E13902"/>
    <w:rsid w:val="00E62A27"/>
    <w:rsid w:val="00EF7A61"/>
    <w:rsid w:val="00F56187"/>
    <w:rsid w:val="00FD2F78"/>
    <w:rsid w:val="00FE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89E"/>
    <w:pPr>
      <w:spacing w:after="200" w:line="276" w:lineRule="auto"/>
    </w:pPr>
    <w:rPr>
      <w:sz w:val="22"/>
      <w:szCs w:val="22"/>
      <w:lang w:eastAsia="en-US"/>
    </w:rPr>
  </w:style>
  <w:style w:type="paragraph" w:styleId="Heading1">
    <w:name w:val="heading 1"/>
    <w:basedOn w:val="Normal"/>
    <w:next w:val="Normal"/>
    <w:link w:val="Heading1Char"/>
    <w:uiPriority w:val="99"/>
    <w:qFormat/>
    <w:rsid w:val="002F7EC5"/>
    <w:pPr>
      <w:keepNext/>
      <w:keepLines/>
      <w:spacing w:before="480" w:after="0"/>
      <w:outlineLvl w:val="0"/>
    </w:pPr>
    <w:rPr>
      <w:rFonts w:ascii="Cambria" w:eastAsia="MS Gothi" w:hAnsi="Cambria"/>
      <w:b/>
      <w:bCs/>
      <w:color w:val="365F91"/>
      <w:sz w:val="28"/>
      <w:szCs w:val="28"/>
    </w:rPr>
  </w:style>
  <w:style w:type="paragraph" w:styleId="Heading2">
    <w:name w:val="heading 2"/>
    <w:basedOn w:val="Normal"/>
    <w:next w:val="Normal"/>
    <w:link w:val="Heading2Char"/>
    <w:uiPriority w:val="99"/>
    <w:qFormat/>
    <w:rsid w:val="002F7EC5"/>
    <w:pPr>
      <w:keepNext/>
      <w:keepLines/>
      <w:spacing w:before="200" w:after="0"/>
      <w:outlineLvl w:val="1"/>
    </w:pPr>
    <w:rPr>
      <w:rFonts w:ascii="Cambria" w:eastAsia="MS Goth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7EC5"/>
    <w:rPr>
      <w:rFonts w:ascii="Cambria" w:eastAsia="MS Gothi" w:hAnsi="Cambria" w:cs="Times New Roman"/>
      <w:b/>
      <w:bCs/>
      <w:color w:val="365F91"/>
      <w:sz w:val="28"/>
      <w:szCs w:val="28"/>
    </w:rPr>
  </w:style>
  <w:style w:type="character" w:customStyle="1" w:styleId="Heading2Char">
    <w:name w:val="Heading 2 Char"/>
    <w:link w:val="Heading2"/>
    <w:uiPriority w:val="99"/>
    <w:locked/>
    <w:rsid w:val="002F7EC5"/>
    <w:rPr>
      <w:rFonts w:ascii="Cambria" w:eastAsia="MS Gothi" w:hAnsi="Cambria" w:cs="Times New Roman"/>
      <w:b/>
      <w:bCs/>
      <w:color w:val="4F81BD"/>
      <w:sz w:val="26"/>
      <w:szCs w:val="26"/>
    </w:rPr>
  </w:style>
  <w:style w:type="paragraph" w:styleId="ListParagraph">
    <w:name w:val="List Paragraph"/>
    <w:basedOn w:val="Normal"/>
    <w:uiPriority w:val="99"/>
    <w:qFormat/>
    <w:rsid w:val="00FD2F78"/>
    <w:pPr>
      <w:ind w:left="720"/>
      <w:contextualSpacing/>
    </w:pPr>
  </w:style>
  <w:style w:type="paragraph" w:styleId="Title">
    <w:name w:val="Title"/>
    <w:basedOn w:val="Normal"/>
    <w:next w:val="Normal"/>
    <w:link w:val="TitleChar"/>
    <w:uiPriority w:val="99"/>
    <w:qFormat/>
    <w:rsid w:val="002F7EC5"/>
    <w:pPr>
      <w:pBdr>
        <w:bottom w:val="single" w:sz="8" w:space="4" w:color="4F81BD"/>
      </w:pBdr>
      <w:spacing w:after="300" w:line="240" w:lineRule="auto"/>
      <w:contextualSpacing/>
    </w:pPr>
    <w:rPr>
      <w:rFonts w:ascii="Cambria" w:eastAsia="MS Gothi" w:hAnsi="Cambria"/>
      <w:color w:val="17365D"/>
      <w:spacing w:val="5"/>
      <w:kern w:val="28"/>
      <w:sz w:val="52"/>
      <w:szCs w:val="52"/>
    </w:rPr>
  </w:style>
  <w:style w:type="character" w:customStyle="1" w:styleId="TitleChar">
    <w:name w:val="Title Char"/>
    <w:link w:val="Title"/>
    <w:uiPriority w:val="99"/>
    <w:locked/>
    <w:rsid w:val="002F7EC5"/>
    <w:rPr>
      <w:rFonts w:ascii="Cambria" w:eastAsia="MS Gothi" w:hAnsi="Cambria" w:cs="Times New Roman"/>
      <w:color w:val="17365D"/>
      <w:spacing w:val="5"/>
      <w:kern w:val="28"/>
      <w:sz w:val="52"/>
      <w:szCs w:val="52"/>
    </w:rPr>
  </w:style>
  <w:style w:type="paragraph" w:styleId="NormalWeb">
    <w:name w:val="Normal (Web)"/>
    <w:basedOn w:val="Normal"/>
    <w:uiPriority w:val="99"/>
    <w:semiHidden/>
    <w:rsid w:val="00AE1A85"/>
    <w:pPr>
      <w:spacing w:before="100" w:beforeAutospacing="1" w:after="100" w:afterAutospacing="1" w:line="240" w:lineRule="auto"/>
    </w:pPr>
    <w:rPr>
      <w:rFonts w:ascii="Times" w:eastAsia="MS Minngs" w:hAnsi="Times"/>
      <w:sz w:val="20"/>
      <w:szCs w:val="20"/>
    </w:rPr>
  </w:style>
  <w:style w:type="character" w:styleId="Strong">
    <w:name w:val="Strong"/>
    <w:uiPriority w:val="99"/>
    <w:qFormat/>
    <w:rsid w:val="00AE1A85"/>
    <w:rPr>
      <w:rFonts w:cs="Times New Roman"/>
      <w:b/>
      <w:bCs/>
    </w:rPr>
  </w:style>
  <w:style w:type="character" w:customStyle="1" w:styleId="apple-converted-space">
    <w:name w:val="apple-converted-space"/>
    <w:uiPriority w:val="99"/>
    <w:rsid w:val="00AE1A85"/>
    <w:rPr>
      <w:rFonts w:cs="Times New Roman"/>
    </w:rPr>
  </w:style>
  <w:style w:type="character" w:styleId="Hyperlink">
    <w:name w:val="Hyperlink"/>
    <w:uiPriority w:val="99"/>
    <w:semiHidden/>
    <w:rsid w:val="00AE1A85"/>
    <w:rPr>
      <w:rFonts w:cs="Times New Roman"/>
      <w:color w:val="0000FF"/>
      <w:u w:val="single"/>
    </w:rPr>
  </w:style>
  <w:style w:type="paragraph" w:styleId="BalloonText">
    <w:name w:val="Balloon Text"/>
    <w:basedOn w:val="Normal"/>
    <w:link w:val="BalloonTextChar"/>
    <w:uiPriority w:val="99"/>
    <w:semiHidden/>
    <w:rsid w:val="00C50CF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C50CF3"/>
    <w:rPr>
      <w:rFonts w:ascii="Lucida Grande" w:hAnsi="Lucida Grande" w:cs="Lucida Grande"/>
      <w:sz w:val="18"/>
      <w:szCs w:val="18"/>
    </w:rPr>
  </w:style>
  <w:style w:type="table" w:styleId="TableGrid">
    <w:name w:val="Table Grid"/>
    <w:basedOn w:val="TableNormal"/>
    <w:locked/>
    <w:rsid w:val="00A9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982</Words>
  <Characters>5600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North Devon Healthcare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Devon Healthcare </dc:title>
  <dc:subject/>
  <dc:creator>Wilcox-Family</dc:creator>
  <cp:keywords/>
  <dc:description/>
  <cp:lastModifiedBy>Suzanne White</cp:lastModifiedBy>
  <cp:revision>2</cp:revision>
  <dcterms:created xsi:type="dcterms:W3CDTF">2014-09-03T10:17:00Z</dcterms:created>
  <dcterms:modified xsi:type="dcterms:W3CDTF">2014-09-03T10:17:00Z</dcterms:modified>
</cp:coreProperties>
</file>