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79" w:rsidRDefault="002A07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6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br/>
        <w:t>Referring Doctor: BAKER S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5 01/02/2019 US Doppler lower limb veins Lt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Left lower leg healed ulcer, discolouration and eczema. </w:t>
      </w:r>
      <w:proofErr w:type="gramStart"/>
      <w:r>
        <w:rPr>
          <w:rFonts w:ascii="Arial" w:hAnsi="Arial" w:cs="Arial"/>
          <w:sz w:val="24"/>
          <w:szCs w:val="24"/>
        </w:rPr>
        <w:t xml:space="preserve">OP </w:t>
      </w:r>
      <w:proofErr w:type="spellStart"/>
      <w:r>
        <w:rPr>
          <w:rFonts w:ascii="Arial" w:hAnsi="Arial" w:cs="Arial"/>
          <w:sz w:val="24"/>
          <w:szCs w:val="24"/>
        </w:rPr>
        <w:t>appt</w:t>
      </w:r>
      <w:proofErr w:type="spellEnd"/>
      <w:r>
        <w:rPr>
          <w:rFonts w:ascii="Arial" w:hAnsi="Arial" w:cs="Arial"/>
          <w:sz w:val="24"/>
          <w:szCs w:val="24"/>
        </w:rPr>
        <w:t xml:space="preserve"> 16/04/2019.</w:t>
      </w:r>
      <w:proofErr w:type="gramEnd"/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LEFT LEG SEVERE GSV REFLUX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 LEG: The deep veins were patent and no significant incompetence was demonstrated.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Severe reflux was observed across the SFJ into two medial branches.  The more medial one was smaller and both vessels were incompetent, taking a fairly straight path through the thigh.  They joined in the lower thigh forming one main GSV.  Severe reflux continued through the GSV in the calf; it divided in the upper calf to give numerous medial varicose veins and some anterior vein below the kneecap.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SSV was competent.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Oedema was observed in the calf.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2A07C0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lastRenderedPageBreak/>
        <w:drawing>
          <wp:inline distT="0" distB="0" distL="0" distR="0" wp14:anchorId="2B0E3D00" wp14:editId="2A05B222">
            <wp:extent cx="5514975" cy="6991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3E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09511E"/>
    <w:rsid w:val="002A07C0"/>
    <w:rsid w:val="00392D6D"/>
    <w:rsid w:val="004C3E79"/>
    <w:rsid w:val="0057043D"/>
    <w:rsid w:val="007468F6"/>
    <w:rsid w:val="009A47B6"/>
    <w:rsid w:val="00C83E3E"/>
    <w:rsid w:val="00E2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2019-04-26T13:48:00Z</dcterms:created>
  <dcterms:modified xsi:type="dcterms:W3CDTF">2019-04-26T13:48:00Z</dcterms:modified>
</cp:coreProperties>
</file>