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A27AC8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4********4</w:t>
      </w:r>
      <w:r>
        <w:rPr>
          <w:rFonts w:ascii="Arial" w:hAnsi="Arial" w:cs="Arial"/>
          <w:sz w:val="24"/>
          <w:szCs w:val="24"/>
        </w:rPr>
        <w:br/>
        <w:t>Referring Doctor: JAMES KERSEY JPWK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19B******2 06/02/2019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Right ocular ischaemia.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Intimal thickening was noted in each CCA and there was very minor echogenic disease in each carotid bulb.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on either side and velocities were within normal ranges throughout.  Both CCAs were somewhat </w:t>
      </w:r>
      <w:proofErr w:type="spellStart"/>
      <w:r>
        <w:rPr>
          <w:rFonts w:ascii="Arial" w:hAnsi="Arial" w:cs="Arial"/>
          <w:sz w:val="20"/>
          <w:szCs w:val="20"/>
        </w:rPr>
        <w:t>ectatic</w:t>
      </w:r>
      <w:proofErr w:type="spellEnd"/>
      <w:r>
        <w:rPr>
          <w:rFonts w:ascii="Arial" w:hAnsi="Arial" w:cs="Arial"/>
          <w:sz w:val="20"/>
          <w:szCs w:val="20"/>
        </w:rPr>
        <w:t xml:space="preserve"> proximally with diameters of 1.2cm on the right and 1.1cm on the left.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305657"/>
    <w:rsid w:val="00484812"/>
    <w:rsid w:val="00621901"/>
    <w:rsid w:val="00670828"/>
    <w:rsid w:val="008A13BF"/>
    <w:rsid w:val="00A27AC8"/>
    <w:rsid w:val="00AA1767"/>
    <w:rsid w:val="00B107F2"/>
    <w:rsid w:val="00C3450F"/>
    <w:rsid w:val="00C83E3E"/>
    <w:rsid w:val="00E45EBA"/>
    <w:rsid w:val="00EE6B18"/>
    <w:rsid w:val="00F7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2019-04-21T10:50:00Z</dcterms:created>
  <dcterms:modified xsi:type="dcterms:W3CDTF">2019-04-25T08:02:00Z</dcterms:modified>
</cp:coreProperties>
</file>