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DA8" w:rsidRPr="00437204" w:rsidRDefault="00894DA8" w:rsidP="00184928">
      <w:pPr>
        <w:jc w:val="center"/>
        <w:rPr>
          <w:b/>
          <w:sz w:val="44"/>
          <w:szCs w:val="44"/>
        </w:rPr>
      </w:pPr>
      <w:r w:rsidRPr="00437204">
        <w:rPr>
          <w:b/>
          <w:sz w:val="44"/>
          <w:szCs w:val="44"/>
        </w:rPr>
        <w:t>VACCINE INDUCED THROMBOCYTOPAENIA AND THROMBOSIS (VITT)</w:t>
      </w:r>
    </w:p>
    <w:p w:rsidR="00184928" w:rsidRPr="00437204" w:rsidRDefault="00184928" w:rsidP="00184928">
      <w:pPr>
        <w:jc w:val="center"/>
        <w:rPr>
          <w:sz w:val="44"/>
          <w:szCs w:val="44"/>
          <w:u w:val="single"/>
        </w:rPr>
      </w:pPr>
      <w:r w:rsidRPr="00437204">
        <w:rPr>
          <w:sz w:val="44"/>
          <w:szCs w:val="44"/>
          <w:u w:val="single"/>
        </w:rPr>
        <w:t>Guidance and Protocol for Ultrasound</w:t>
      </w:r>
    </w:p>
    <w:p w:rsidR="00894DA8" w:rsidRPr="00C83A95" w:rsidRDefault="00184928">
      <w:pPr>
        <w:rPr>
          <w:color w:val="FF0000"/>
        </w:rPr>
      </w:pPr>
      <w:r w:rsidRPr="00C83A95">
        <w:rPr>
          <w:color w:val="FF0000"/>
        </w:rPr>
        <w:t>Latest update 23.04.2021</w:t>
      </w:r>
    </w:p>
    <w:p w:rsidR="00184928" w:rsidRDefault="00184928"/>
    <w:p w:rsidR="00184928" w:rsidRPr="00437204" w:rsidRDefault="00184928" w:rsidP="00184928">
      <w:pPr>
        <w:jc w:val="center"/>
        <w:rPr>
          <w:sz w:val="40"/>
          <w:szCs w:val="40"/>
        </w:rPr>
      </w:pPr>
      <w:r w:rsidRPr="00437204">
        <w:rPr>
          <w:sz w:val="40"/>
          <w:szCs w:val="40"/>
        </w:rPr>
        <w:t>Background Information</w:t>
      </w:r>
    </w:p>
    <w:p w:rsidR="00C06ACC" w:rsidRDefault="00C06ACC" w:rsidP="00C06ACC">
      <w:pPr>
        <w:pStyle w:val="Default"/>
      </w:pPr>
    </w:p>
    <w:p w:rsidR="00C06ACC" w:rsidRPr="00437204" w:rsidRDefault="00C06ACC" w:rsidP="00437204">
      <w:pPr>
        <w:pStyle w:val="Default"/>
        <w:jc w:val="center"/>
        <w:rPr>
          <w:sz w:val="28"/>
          <w:szCs w:val="28"/>
          <w:u w:val="single"/>
        </w:rPr>
      </w:pPr>
      <w:r w:rsidRPr="00437204">
        <w:rPr>
          <w:sz w:val="28"/>
          <w:szCs w:val="28"/>
          <w:u w:val="single"/>
        </w:rPr>
        <w:t>Guidance from the Expert Haematology Panel (EHP) on Covid-19 Vaccine-induced Immune Thrombocytopenia and Thrombosis (VITT)</w:t>
      </w:r>
    </w:p>
    <w:p w:rsidR="00C06ACC" w:rsidRDefault="00C06ACC" w:rsidP="00C06ACC">
      <w:pPr>
        <w:pStyle w:val="Default"/>
        <w:rPr>
          <w:color w:val="auto"/>
        </w:rPr>
      </w:pPr>
    </w:p>
    <w:p w:rsidR="00C06ACC" w:rsidRDefault="00C06ACC" w:rsidP="00C06ACC">
      <w:pPr>
        <w:pStyle w:val="Default"/>
        <w:rPr>
          <w:b/>
          <w:bCs/>
          <w:color w:val="auto"/>
          <w:sz w:val="20"/>
          <w:szCs w:val="20"/>
        </w:rPr>
      </w:pPr>
      <w:proofErr w:type="gramStart"/>
      <w:r>
        <w:rPr>
          <w:b/>
          <w:bCs/>
          <w:color w:val="auto"/>
          <w:sz w:val="20"/>
          <w:szCs w:val="20"/>
        </w:rPr>
        <w:t>Updated Guidance on Management.</w:t>
      </w:r>
      <w:proofErr w:type="gramEnd"/>
      <w:r>
        <w:rPr>
          <w:b/>
          <w:bCs/>
          <w:color w:val="auto"/>
          <w:sz w:val="20"/>
          <w:szCs w:val="20"/>
        </w:rPr>
        <w:t xml:space="preserve"> Version 1.7 20 April 2021 </w:t>
      </w:r>
    </w:p>
    <w:p w:rsidR="00C06ACC" w:rsidRDefault="00C06ACC" w:rsidP="00C06ACC">
      <w:pPr>
        <w:pStyle w:val="Default"/>
        <w:rPr>
          <w:color w:val="auto"/>
          <w:sz w:val="20"/>
          <w:szCs w:val="20"/>
        </w:rPr>
      </w:pPr>
    </w:p>
    <w:p w:rsidR="00C06ACC" w:rsidRDefault="00C06ACC" w:rsidP="00C06ACC">
      <w:pPr>
        <w:pStyle w:val="Default"/>
        <w:rPr>
          <w:b/>
          <w:bCs/>
          <w:color w:val="auto"/>
          <w:sz w:val="20"/>
          <w:szCs w:val="20"/>
        </w:rPr>
      </w:pPr>
      <w:r>
        <w:rPr>
          <w:b/>
          <w:bCs/>
          <w:color w:val="auto"/>
          <w:sz w:val="20"/>
          <w:szCs w:val="20"/>
        </w:rPr>
        <w:t>Note this is a live document and is updated frequently as further information comes to light</w:t>
      </w:r>
    </w:p>
    <w:p w:rsidR="00C06ACC" w:rsidRDefault="00C06ACC" w:rsidP="00C06ACC">
      <w:pPr>
        <w:pStyle w:val="Default"/>
        <w:rPr>
          <w:color w:val="auto"/>
          <w:sz w:val="20"/>
          <w:szCs w:val="20"/>
        </w:rPr>
      </w:pPr>
      <w:r>
        <w:rPr>
          <w:b/>
          <w:bCs/>
          <w:color w:val="auto"/>
          <w:sz w:val="20"/>
          <w:szCs w:val="20"/>
        </w:rPr>
        <w:t xml:space="preserve"> </w:t>
      </w:r>
    </w:p>
    <w:p w:rsidR="00C06ACC" w:rsidRDefault="00C06ACC" w:rsidP="00C06ACC">
      <w:pPr>
        <w:pStyle w:val="Default"/>
        <w:rPr>
          <w:i/>
          <w:iCs/>
          <w:color w:val="auto"/>
          <w:sz w:val="20"/>
          <w:szCs w:val="20"/>
        </w:rPr>
      </w:pPr>
      <w:r>
        <w:rPr>
          <w:i/>
          <w:iCs/>
          <w:color w:val="auto"/>
          <w:sz w:val="20"/>
          <w:szCs w:val="20"/>
        </w:rPr>
        <w:t>There are currently no robust data to inform management of this condition. In the absence of published evidence, these are pragmatic guidelines based on experience of managing the initial cases, alternative similar conditions and the theoretical risks and benefits of interventions. As evidence emerges, recommendations are expected to change. Patient management should be individualised according to specific circumstances.</w:t>
      </w:r>
    </w:p>
    <w:p w:rsidR="00C06ACC" w:rsidRDefault="00C06ACC" w:rsidP="00C06ACC">
      <w:pPr>
        <w:pStyle w:val="Default"/>
        <w:rPr>
          <w:color w:val="auto"/>
          <w:sz w:val="20"/>
          <w:szCs w:val="20"/>
        </w:rPr>
      </w:pPr>
      <w:r>
        <w:rPr>
          <w:i/>
          <w:iCs/>
          <w:color w:val="auto"/>
          <w:sz w:val="20"/>
          <w:szCs w:val="20"/>
        </w:rPr>
        <w:t xml:space="preserve"> </w:t>
      </w:r>
    </w:p>
    <w:p w:rsidR="00C06ACC" w:rsidRDefault="00C06ACC" w:rsidP="00C06ACC">
      <w:pPr>
        <w:pStyle w:val="Default"/>
        <w:rPr>
          <w:color w:val="auto"/>
          <w:sz w:val="20"/>
          <w:szCs w:val="20"/>
        </w:rPr>
      </w:pPr>
      <w:r>
        <w:rPr>
          <w:color w:val="auto"/>
          <w:sz w:val="20"/>
          <w:szCs w:val="20"/>
        </w:rPr>
        <w:t>A rare syndrome of immune-driven thrombosis, often cerebral venous sinus thrombosis, and thrombocytopenia has been reported after COVID-19 vaccination and is highlighted as affecting patients of all ages and both genders; at present there is no clear signal of risk factors.</w:t>
      </w:r>
    </w:p>
    <w:p w:rsidR="00C06ACC" w:rsidRDefault="00C06ACC" w:rsidP="00C06ACC">
      <w:pPr>
        <w:pStyle w:val="Default"/>
        <w:rPr>
          <w:color w:val="auto"/>
          <w:sz w:val="20"/>
          <w:szCs w:val="20"/>
        </w:rPr>
      </w:pPr>
      <w:r>
        <w:rPr>
          <w:color w:val="auto"/>
          <w:sz w:val="20"/>
          <w:szCs w:val="20"/>
        </w:rPr>
        <w:t xml:space="preserve"> </w:t>
      </w:r>
    </w:p>
    <w:p w:rsidR="00C06ACC" w:rsidRDefault="00C06ACC" w:rsidP="00C06ACC">
      <w:pPr>
        <w:pStyle w:val="Default"/>
        <w:rPr>
          <w:color w:val="auto"/>
          <w:sz w:val="20"/>
          <w:szCs w:val="20"/>
        </w:rPr>
      </w:pPr>
      <w:r>
        <w:rPr>
          <w:color w:val="auto"/>
          <w:sz w:val="20"/>
          <w:szCs w:val="20"/>
        </w:rPr>
        <w:t>Clinicians need to be on alert for this syndrome, to understand how to make the diagnosis and to note the specifics of how to treat it. The Expert Haematology Panel (EHP) offers MDT support for management of cases.</w:t>
      </w:r>
    </w:p>
    <w:p w:rsidR="00C06ACC" w:rsidRDefault="00C06ACC" w:rsidP="00C06ACC">
      <w:pPr>
        <w:pStyle w:val="Default"/>
        <w:rPr>
          <w:color w:val="auto"/>
          <w:sz w:val="20"/>
          <w:szCs w:val="20"/>
        </w:rPr>
      </w:pPr>
      <w:r>
        <w:rPr>
          <w:color w:val="auto"/>
          <w:sz w:val="20"/>
          <w:szCs w:val="20"/>
        </w:rPr>
        <w:t xml:space="preserve"> </w:t>
      </w:r>
    </w:p>
    <w:p w:rsidR="00C06ACC" w:rsidRDefault="00C06ACC" w:rsidP="00C06ACC">
      <w:pPr>
        <w:pStyle w:val="Default"/>
        <w:rPr>
          <w:color w:val="auto"/>
          <w:sz w:val="20"/>
          <w:szCs w:val="20"/>
        </w:rPr>
      </w:pPr>
      <w:r>
        <w:rPr>
          <w:color w:val="auto"/>
          <w:sz w:val="20"/>
          <w:szCs w:val="20"/>
        </w:rPr>
        <w:t>Probable cases must be reported to th</w:t>
      </w:r>
      <w:r>
        <w:rPr>
          <w:color w:val="auto"/>
          <w:sz w:val="20"/>
          <w:szCs w:val="20"/>
        </w:rPr>
        <w:t xml:space="preserve">e EHP and Public Health England. </w:t>
      </w:r>
      <w:r>
        <w:rPr>
          <w:color w:val="auto"/>
          <w:sz w:val="20"/>
          <w:szCs w:val="20"/>
        </w:rPr>
        <w:t xml:space="preserve">Additionally, all cases of thrombosis or thrombocytopenia occurring within 28 days of COVID-19 vaccine must be reported to the MHRA </w:t>
      </w:r>
    </w:p>
    <w:p w:rsidR="00C06ACC" w:rsidRDefault="00C06ACC" w:rsidP="00C06ACC">
      <w:pPr>
        <w:pStyle w:val="Default"/>
        <w:rPr>
          <w:color w:val="auto"/>
          <w:sz w:val="20"/>
          <w:szCs w:val="20"/>
        </w:rPr>
      </w:pPr>
    </w:p>
    <w:p w:rsidR="00C06ACC" w:rsidRDefault="00C06ACC" w:rsidP="00C06ACC">
      <w:pPr>
        <w:pStyle w:val="Default"/>
        <w:rPr>
          <w:color w:val="auto"/>
          <w:sz w:val="20"/>
          <w:szCs w:val="20"/>
        </w:rPr>
      </w:pPr>
      <w:r>
        <w:rPr>
          <w:color w:val="auto"/>
          <w:sz w:val="20"/>
          <w:szCs w:val="20"/>
        </w:rPr>
        <w:t xml:space="preserve">DEFINITE CASE: </w:t>
      </w:r>
    </w:p>
    <w:p w:rsidR="00C06ACC" w:rsidRDefault="00C06ACC" w:rsidP="00C06ACC">
      <w:pPr>
        <w:pStyle w:val="Default"/>
        <w:rPr>
          <w:color w:val="auto"/>
          <w:sz w:val="20"/>
          <w:szCs w:val="20"/>
        </w:rPr>
      </w:pPr>
      <w:r>
        <w:rPr>
          <w:color w:val="auto"/>
          <w:sz w:val="20"/>
          <w:szCs w:val="20"/>
        </w:rPr>
        <w:t xml:space="preserve">Cases usually present 5-28 days after vaccination and are characterised by thrombocytopenia, raised D Dimers and thrombosis, which is often rapidly progressive. </w:t>
      </w:r>
    </w:p>
    <w:p w:rsidR="00C06ACC" w:rsidRDefault="00C06ACC" w:rsidP="00C06ACC">
      <w:pPr>
        <w:pStyle w:val="Default"/>
        <w:rPr>
          <w:color w:val="auto"/>
          <w:sz w:val="20"/>
          <w:szCs w:val="20"/>
        </w:rPr>
      </w:pPr>
      <w:r>
        <w:rPr>
          <w:color w:val="auto"/>
          <w:sz w:val="20"/>
          <w:szCs w:val="20"/>
        </w:rPr>
        <w:t xml:space="preserve">There is a high preponderance of cerebral venous sinus thrombosis. Portal vein and splanchnic vein thrombosis, pulmonary embolism and arterial ischaemia are also common, as well as adrenal infarction and haemorrhage. Intracranial haemorrhage can be significant and unexpected. </w:t>
      </w:r>
    </w:p>
    <w:p w:rsidR="00C06ACC" w:rsidRDefault="00C06ACC" w:rsidP="00C06ACC">
      <w:pPr>
        <w:pStyle w:val="Default"/>
        <w:numPr>
          <w:ilvl w:val="0"/>
          <w:numId w:val="1"/>
        </w:numPr>
        <w:rPr>
          <w:color w:val="auto"/>
          <w:sz w:val="20"/>
          <w:szCs w:val="20"/>
        </w:rPr>
      </w:pPr>
      <w:r>
        <w:rPr>
          <w:color w:val="auto"/>
          <w:sz w:val="20"/>
          <w:szCs w:val="20"/>
        </w:rPr>
        <w:t>• Typical laboratory features include a platelet count &lt;150 x10</w:t>
      </w:r>
      <w:r>
        <w:rPr>
          <w:color w:val="auto"/>
          <w:sz w:val="13"/>
          <w:szCs w:val="13"/>
        </w:rPr>
        <w:t>9</w:t>
      </w:r>
      <w:r>
        <w:rPr>
          <w:color w:val="auto"/>
          <w:sz w:val="20"/>
          <w:szCs w:val="20"/>
        </w:rPr>
        <w:t xml:space="preserve">/L, very raised D Dimer levels above the level expected for VTE and many develop low fibrinogen levels. </w:t>
      </w:r>
    </w:p>
    <w:p w:rsidR="00C06ACC" w:rsidRDefault="00C06ACC" w:rsidP="00C06ACC">
      <w:pPr>
        <w:pStyle w:val="Default"/>
        <w:rPr>
          <w:color w:val="auto"/>
          <w:sz w:val="20"/>
          <w:szCs w:val="20"/>
        </w:rPr>
      </w:pPr>
    </w:p>
    <w:p w:rsidR="00C06ACC" w:rsidRDefault="00C06ACC" w:rsidP="00C06ACC">
      <w:pPr>
        <w:pStyle w:val="Default"/>
        <w:numPr>
          <w:ilvl w:val="0"/>
          <w:numId w:val="2"/>
        </w:numPr>
        <w:rPr>
          <w:color w:val="auto"/>
          <w:sz w:val="20"/>
          <w:szCs w:val="20"/>
        </w:rPr>
      </w:pPr>
      <w:r>
        <w:rPr>
          <w:color w:val="auto"/>
          <w:sz w:val="20"/>
          <w:szCs w:val="20"/>
        </w:rPr>
        <w:t xml:space="preserve">• Antibodies to platelet factor 4 (PF4) have been identified and so this has similarities to heparin-induced thrombocytopenia (HIT), but in the absence of patient exposure to heparin treatment. PF4 antibodies are detected by ELISA HIT assay but not usually by other HIT assay methods. </w:t>
      </w:r>
    </w:p>
    <w:p w:rsidR="00437204" w:rsidRDefault="00437204" w:rsidP="00437204">
      <w:pPr>
        <w:pStyle w:val="Default"/>
        <w:rPr>
          <w:color w:val="auto"/>
          <w:sz w:val="20"/>
          <w:szCs w:val="20"/>
        </w:rPr>
      </w:pPr>
    </w:p>
    <w:p w:rsidR="00437204" w:rsidRDefault="00437204" w:rsidP="00437204">
      <w:pPr>
        <w:pStyle w:val="Default"/>
        <w:rPr>
          <w:color w:val="auto"/>
          <w:sz w:val="20"/>
          <w:szCs w:val="20"/>
        </w:rPr>
      </w:pPr>
    </w:p>
    <w:p w:rsidR="00437204" w:rsidRPr="00C06ACC" w:rsidRDefault="00437204" w:rsidP="00437204">
      <w:pPr>
        <w:pStyle w:val="Default"/>
        <w:rPr>
          <w:color w:val="auto"/>
          <w:sz w:val="20"/>
          <w:szCs w:val="20"/>
        </w:rPr>
      </w:pPr>
    </w:p>
    <w:p w:rsidR="00C06ACC" w:rsidRDefault="00C06ACC" w:rsidP="00C06ACC">
      <w:pPr>
        <w:pStyle w:val="Default"/>
        <w:rPr>
          <w:b/>
          <w:bCs/>
          <w:color w:val="auto"/>
          <w:sz w:val="20"/>
          <w:szCs w:val="20"/>
        </w:rPr>
      </w:pPr>
    </w:p>
    <w:p w:rsidR="00C06ACC" w:rsidRDefault="00C06ACC" w:rsidP="00C06ACC">
      <w:pPr>
        <w:pStyle w:val="Default"/>
        <w:rPr>
          <w:color w:val="auto"/>
          <w:sz w:val="20"/>
          <w:szCs w:val="20"/>
        </w:rPr>
      </w:pPr>
      <w:r>
        <w:rPr>
          <w:b/>
          <w:bCs/>
          <w:color w:val="auto"/>
          <w:sz w:val="20"/>
          <w:szCs w:val="20"/>
        </w:rPr>
        <w:lastRenderedPageBreak/>
        <w:t xml:space="preserve">Suggested actions to be taken for the identification and management of suspected cases: </w:t>
      </w:r>
    </w:p>
    <w:p w:rsidR="00C06ACC" w:rsidRDefault="00C06ACC" w:rsidP="00C06ACC">
      <w:pPr>
        <w:pStyle w:val="Default"/>
        <w:rPr>
          <w:color w:val="auto"/>
          <w:sz w:val="20"/>
          <w:szCs w:val="20"/>
        </w:rPr>
      </w:pPr>
      <w:r>
        <w:rPr>
          <w:color w:val="auto"/>
          <w:sz w:val="20"/>
          <w:szCs w:val="20"/>
        </w:rPr>
        <w:t xml:space="preserve">POSSIBLE CASE: </w:t>
      </w:r>
    </w:p>
    <w:p w:rsidR="00C06ACC" w:rsidRDefault="00C06ACC" w:rsidP="00C06ACC">
      <w:pPr>
        <w:pStyle w:val="Default"/>
        <w:rPr>
          <w:color w:val="auto"/>
          <w:sz w:val="20"/>
          <w:szCs w:val="20"/>
        </w:rPr>
      </w:pPr>
      <w:r>
        <w:rPr>
          <w:color w:val="auto"/>
          <w:sz w:val="20"/>
          <w:szCs w:val="20"/>
        </w:rPr>
        <w:t xml:space="preserve">Any patient presenting with acute thrombosis and new onset thrombocytopenia within 28 days of receiving COVID 19 vaccination </w:t>
      </w:r>
    </w:p>
    <w:p w:rsidR="00C06ACC" w:rsidRDefault="00C06ACC" w:rsidP="00C06ACC">
      <w:pPr>
        <w:pStyle w:val="Default"/>
        <w:rPr>
          <w:b/>
          <w:bCs/>
          <w:color w:val="auto"/>
          <w:sz w:val="20"/>
          <w:szCs w:val="20"/>
        </w:rPr>
      </w:pPr>
    </w:p>
    <w:p w:rsidR="00C06ACC" w:rsidRDefault="00C06ACC" w:rsidP="00C06ACC">
      <w:pPr>
        <w:pStyle w:val="Default"/>
        <w:rPr>
          <w:color w:val="auto"/>
          <w:sz w:val="20"/>
          <w:szCs w:val="20"/>
        </w:rPr>
      </w:pPr>
      <w:r>
        <w:rPr>
          <w:b/>
          <w:bCs/>
          <w:color w:val="auto"/>
          <w:sz w:val="20"/>
          <w:szCs w:val="20"/>
        </w:rPr>
        <w:t xml:space="preserve">Investigations </w:t>
      </w:r>
    </w:p>
    <w:p w:rsidR="00C06ACC" w:rsidRDefault="00C06ACC" w:rsidP="00C06ACC">
      <w:pPr>
        <w:pStyle w:val="Default"/>
        <w:spacing w:after="10"/>
        <w:rPr>
          <w:color w:val="auto"/>
          <w:sz w:val="20"/>
          <w:szCs w:val="20"/>
        </w:rPr>
      </w:pPr>
      <w:r>
        <w:rPr>
          <w:color w:val="auto"/>
          <w:sz w:val="20"/>
          <w:szCs w:val="20"/>
        </w:rPr>
        <w:t>1. FBC- specifically to confirm thrombocytopenia &lt;150x 10</w:t>
      </w:r>
      <w:r>
        <w:rPr>
          <w:color w:val="auto"/>
          <w:sz w:val="13"/>
          <w:szCs w:val="13"/>
        </w:rPr>
        <w:t>9</w:t>
      </w:r>
      <w:r>
        <w:rPr>
          <w:color w:val="auto"/>
          <w:sz w:val="20"/>
          <w:szCs w:val="20"/>
        </w:rPr>
        <w:t xml:space="preserve">/L </w:t>
      </w:r>
    </w:p>
    <w:p w:rsidR="00C06ACC" w:rsidRDefault="00C06ACC" w:rsidP="00C06ACC">
      <w:pPr>
        <w:pStyle w:val="Default"/>
        <w:spacing w:after="10"/>
        <w:rPr>
          <w:color w:val="auto"/>
          <w:sz w:val="20"/>
          <w:szCs w:val="20"/>
        </w:rPr>
      </w:pPr>
      <w:r>
        <w:rPr>
          <w:color w:val="auto"/>
          <w:sz w:val="20"/>
          <w:szCs w:val="20"/>
        </w:rPr>
        <w:t xml:space="preserve">2. Coagulation screen, including </w:t>
      </w:r>
      <w:proofErr w:type="spellStart"/>
      <w:r>
        <w:rPr>
          <w:color w:val="auto"/>
          <w:sz w:val="20"/>
          <w:szCs w:val="20"/>
        </w:rPr>
        <w:t>Clauss</w:t>
      </w:r>
      <w:proofErr w:type="spellEnd"/>
      <w:r>
        <w:rPr>
          <w:color w:val="auto"/>
          <w:sz w:val="20"/>
          <w:szCs w:val="20"/>
        </w:rPr>
        <w:t xml:space="preserve"> fibrinogen and D Dimers </w:t>
      </w:r>
    </w:p>
    <w:p w:rsidR="00C06ACC" w:rsidRDefault="00C06ACC" w:rsidP="00C06ACC">
      <w:pPr>
        <w:pStyle w:val="Default"/>
        <w:rPr>
          <w:color w:val="auto"/>
          <w:sz w:val="20"/>
          <w:szCs w:val="20"/>
        </w:rPr>
      </w:pPr>
      <w:r>
        <w:rPr>
          <w:color w:val="auto"/>
          <w:sz w:val="20"/>
          <w:szCs w:val="20"/>
        </w:rPr>
        <w:t xml:space="preserve">3. Blood film to confirm true thrombocytopenia and identify alternative causes </w:t>
      </w:r>
    </w:p>
    <w:p w:rsidR="00C06ACC" w:rsidRDefault="00C06ACC" w:rsidP="00C06ACC">
      <w:pPr>
        <w:pStyle w:val="Default"/>
        <w:rPr>
          <w:color w:val="auto"/>
          <w:sz w:val="20"/>
          <w:szCs w:val="20"/>
        </w:rPr>
      </w:pPr>
    </w:p>
    <w:p w:rsidR="00C06ACC" w:rsidRPr="00C06ACC" w:rsidRDefault="00C06ACC" w:rsidP="00C06ACC">
      <w:pPr>
        <w:autoSpaceDE w:val="0"/>
        <w:autoSpaceDN w:val="0"/>
        <w:adjustRightInd w:val="0"/>
        <w:spacing w:after="0" w:line="240" w:lineRule="auto"/>
        <w:rPr>
          <w:rFonts w:ascii="Calibri" w:hAnsi="Calibri" w:cs="Calibri"/>
          <w:color w:val="000000"/>
          <w:sz w:val="20"/>
          <w:szCs w:val="20"/>
        </w:rPr>
      </w:pPr>
      <w:r w:rsidRPr="00C06ACC">
        <w:rPr>
          <w:rFonts w:ascii="Calibri" w:hAnsi="Calibri" w:cs="Calibri"/>
          <w:color w:val="000000"/>
          <w:sz w:val="20"/>
          <w:szCs w:val="20"/>
        </w:rPr>
        <w:t xml:space="preserve">UNLIKELY CASE: </w:t>
      </w:r>
    </w:p>
    <w:p w:rsidR="00C06ACC" w:rsidRPr="00C06ACC" w:rsidRDefault="00C06ACC" w:rsidP="00C06ACC">
      <w:pPr>
        <w:numPr>
          <w:ilvl w:val="0"/>
          <w:numId w:val="5"/>
        </w:numPr>
        <w:autoSpaceDE w:val="0"/>
        <w:autoSpaceDN w:val="0"/>
        <w:adjustRightInd w:val="0"/>
        <w:spacing w:after="25" w:line="240" w:lineRule="auto"/>
        <w:rPr>
          <w:rFonts w:ascii="Calibri" w:hAnsi="Calibri" w:cs="Calibri"/>
          <w:color w:val="000000"/>
          <w:sz w:val="20"/>
          <w:szCs w:val="20"/>
        </w:rPr>
      </w:pPr>
      <w:r w:rsidRPr="00C06ACC">
        <w:rPr>
          <w:rFonts w:ascii="Calibri" w:hAnsi="Calibri" w:cs="Calibri"/>
          <w:color w:val="000000"/>
          <w:sz w:val="20"/>
          <w:szCs w:val="20"/>
        </w:rPr>
        <w:t xml:space="preserve">• Reduced platelet count without thrombosis with D dimer at or near normal and normal fibrinogen. </w:t>
      </w:r>
    </w:p>
    <w:p w:rsidR="00C06ACC" w:rsidRPr="00C06ACC" w:rsidRDefault="00C06ACC" w:rsidP="00C06ACC">
      <w:pPr>
        <w:numPr>
          <w:ilvl w:val="0"/>
          <w:numId w:val="5"/>
        </w:numPr>
        <w:autoSpaceDE w:val="0"/>
        <w:autoSpaceDN w:val="0"/>
        <w:adjustRightInd w:val="0"/>
        <w:spacing w:after="0" w:line="240" w:lineRule="auto"/>
        <w:rPr>
          <w:rFonts w:ascii="Calibri" w:hAnsi="Calibri" w:cs="Calibri"/>
          <w:color w:val="000000"/>
          <w:sz w:val="20"/>
          <w:szCs w:val="20"/>
        </w:rPr>
      </w:pPr>
      <w:r w:rsidRPr="00C06ACC">
        <w:rPr>
          <w:rFonts w:ascii="Calibri" w:hAnsi="Calibri" w:cs="Calibri"/>
          <w:color w:val="000000"/>
          <w:sz w:val="20"/>
          <w:szCs w:val="20"/>
        </w:rPr>
        <w:t xml:space="preserve">• Thrombosis with normal platelet count and D dimer &lt;2000 and normal fibrinogen </w:t>
      </w:r>
    </w:p>
    <w:p w:rsidR="00C06ACC" w:rsidRPr="00C06ACC" w:rsidRDefault="00C06ACC" w:rsidP="00C06ACC">
      <w:pPr>
        <w:autoSpaceDE w:val="0"/>
        <w:autoSpaceDN w:val="0"/>
        <w:adjustRightInd w:val="0"/>
        <w:spacing w:after="0" w:line="240" w:lineRule="auto"/>
        <w:rPr>
          <w:rFonts w:ascii="Calibri" w:hAnsi="Calibri" w:cs="Calibri"/>
          <w:color w:val="000000"/>
          <w:sz w:val="20"/>
          <w:szCs w:val="20"/>
        </w:rPr>
      </w:pPr>
    </w:p>
    <w:p w:rsidR="00C06ACC" w:rsidRPr="00C06ACC" w:rsidRDefault="00C06ACC" w:rsidP="00C06ACC">
      <w:pPr>
        <w:autoSpaceDE w:val="0"/>
        <w:autoSpaceDN w:val="0"/>
        <w:adjustRightInd w:val="0"/>
        <w:spacing w:after="0" w:line="240" w:lineRule="auto"/>
        <w:rPr>
          <w:rFonts w:ascii="Calibri" w:hAnsi="Calibri" w:cs="Calibri"/>
          <w:color w:val="000000"/>
          <w:sz w:val="20"/>
          <w:szCs w:val="20"/>
        </w:rPr>
      </w:pPr>
      <w:r w:rsidRPr="00C06ACC">
        <w:rPr>
          <w:rFonts w:ascii="Calibri" w:hAnsi="Calibri" w:cs="Calibri"/>
          <w:color w:val="000000"/>
          <w:sz w:val="20"/>
          <w:szCs w:val="20"/>
        </w:rPr>
        <w:t xml:space="preserve">PROBABLE CASE: </w:t>
      </w:r>
    </w:p>
    <w:p w:rsidR="00C06ACC" w:rsidRPr="00C06ACC" w:rsidRDefault="00C06ACC" w:rsidP="00C06ACC">
      <w:pPr>
        <w:numPr>
          <w:ilvl w:val="0"/>
          <w:numId w:val="6"/>
        </w:numPr>
        <w:autoSpaceDE w:val="0"/>
        <w:autoSpaceDN w:val="0"/>
        <w:adjustRightInd w:val="0"/>
        <w:spacing w:after="0" w:line="240" w:lineRule="auto"/>
        <w:rPr>
          <w:rFonts w:ascii="Calibri" w:hAnsi="Calibri" w:cs="Calibri"/>
          <w:color w:val="000000"/>
          <w:sz w:val="20"/>
          <w:szCs w:val="20"/>
        </w:rPr>
      </w:pPr>
      <w:r w:rsidRPr="00C06ACC">
        <w:rPr>
          <w:rFonts w:ascii="Calibri" w:hAnsi="Calibri" w:cs="Calibri"/>
          <w:color w:val="000000"/>
          <w:sz w:val="20"/>
          <w:szCs w:val="20"/>
        </w:rPr>
        <w:t xml:space="preserve">• D Dimers &gt; 4000 mcg/L (or D Dimers &gt; 2000 with strong clinical suspicion) </w:t>
      </w:r>
    </w:p>
    <w:p w:rsidR="00C06ACC" w:rsidRPr="00C06ACC" w:rsidRDefault="00C06ACC" w:rsidP="00C06ACC">
      <w:pPr>
        <w:autoSpaceDE w:val="0"/>
        <w:autoSpaceDN w:val="0"/>
        <w:adjustRightInd w:val="0"/>
        <w:spacing w:after="0" w:line="240" w:lineRule="auto"/>
        <w:rPr>
          <w:rFonts w:ascii="Calibri" w:hAnsi="Calibri" w:cs="Calibri"/>
          <w:color w:val="000000"/>
          <w:sz w:val="20"/>
          <w:szCs w:val="20"/>
        </w:rPr>
      </w:pPr>
    </w:p>
    <w:p w:rsidR="00C06ACC" w:rsidRPr="00C06ACC" w:rsidRDefault="00C06ACC" w:rsidP="00C06ACC">
      <w:pPr>
        <w:autoSpaceDE w:val="0"/>
        <w:autoSpaceDN w:val="0"/>
        <w:adjustRightInd w:val="0"/>
        <w:spacing w:after="15" w:line="240" w:lineRule="auto"/>
        <w:rPr>
          <w:rFonts w:ascii="Calibri" w:hAnsi="Calibri" w:cs="Calibri"/>
          <w:color w:val="000000"/>
          <w:sz w:val="20"/>
          <w:szCs w:val="20"/>
        </w:rPr>
      </w:pPr>
      <w:r w:rsidRPr="00C06ACC">
        <w:rPr>
          <w:rFonts w:ascii="Calibri" w:hAnsi="Calibri" w:cs="Calibri"/>
          <w:color w:val="000000"/>
          <w:sz w:val="20"/>
          <w:szCs w:val="20"/>
        </w:rPr>
        <w:t xml:space="preserve">1. Send serum sample for PF4 antibody assay (ELISA HIT assay). Please see below * </w:t>
      </w:r>
    </w:p>
    <w:p w:rsidR="00C06ACC" w:rsidRPr="00C06ACC" w:rsidRDefault="00C06ACC" w:rsidP="00C06ACC">
      <w:pPr>
        <w:autoSpaceDE w:val="0"/>
        <w:autoSpaceDN w:val="0"/>
        <w:adjustRightInd w:val="0"/>
        <w:spacing w:after="15" w:line="240" w:lineRule="auto"/>
        <w:rPr>
          <w:rFonts w:ascii="Calibri" w:hAnsi="Calibri" w:cs="Calibri"/>
          <w:color w:val="000000"/>
          <w:sz w:val="20"/>
          <w:szCs w:val="20"/>
        </w:rPr>
      </w:pPr>
      <w:r w:rsidRPr="00C06ACC">
        <w:rPr>
          <w:rFonts w:ascii="Calibri" w:hAnsi="Calibri" w:cs="Calibri"/>
          <w:color w:val="000000"/>
          <w:sz w:val="20"/>
          <w:szCs w:val="20"/>
        </w:rPr>
        <w:t xml:space="preserve">2. Ultrasound abdomen for portal and splanchnic vein thrombosis </w:t>
      </w:r>
    </w:p>
    <w:p w:rsidR="00C06ACC" w:rsidRDefault="00C06ACC" w:rsidP="00C06ACC">
      <w:pPr>
        <w:autoSpaceDE w:val="0"/>
        <w:autoSpaceDN w:val="0"/>
        <w:adjustRightInd w:val="0"/>
        <w:spacing w:after="0" w:line="240" w:lineRule="auto"/>
        <w:rPr>
          <w:rFonts w:ascii="Calibri" w:hAnsi="Calibri" w:cs="Calibri"/>
          <w:color w:val="000000"/>
          <w:sz w:val="20"/>
          <w:szCs w:val="20"/>
        </w:rPr>
      </w:pPr>
      <w:r w:rsidRPr="00C06ACC">
        <w:rPr>
          <w:rFonts w:ascii="Calibri" w:hAnsi="Calibri" w:cs="Calibri"/>
          <w:color w:val="000000"/>
          <w:sz w:val="20"/>
          <w:szCs w:val="20"/>
        </w:rPr>
        <w:t xml:space="preserve">3. Look carefully for CVST, initial imaging may be negative but may be seen on subsequent imaging </w:t>
      </w:r>
    </w:p>
    <w:p w:rsidR="00D607EA" w:rsidRPr="00C06ACC" w:rsidRDefault="00D607EA" w:rsidP="00C06ACC">
      <w:pPr>
        <w:autoSpaceDE w:val="0"/>
        <w:autoSpaceDN w:val="0"/>
        <w:adjustRightInd w:val="0"/>
        <w:spacing w:after="0" w:line="240" w:lineRule="auto"/>
        <w:rPr>
          <w:rFonts w:ascii="Calibri" w:hAnsi="Calibri" w:cs="Calibri"/>
          <w:color w:val="000000"/>
          <w:sz w:val="20"/>
          <w:szCs w:val="20"/>
        </w:rPr>
      </w:pPr>
    </w:p>
    <w:p w:rsidR="00C06ACC" w:rsidRDefault="00C06ACC" w:rsidP="00C06ACC">
      <w:pPr>
        <w:pStyle w:val="Default"/>
        <w:rPr>
          <w:color w:val="auto"/>
          <w:sz w:val="20"/>
          <w:szCs w:val="20"/>
        </w:rPr>
      </w:pPr>
    </w:p>
    <w:p w:rsidR="00D607EA" w:rsidRDefault="00D607EA" w:rsidP="00C06ACC">
      <w:pPr>
        <w:pStyle w:val="Default"/>
        <w:rPr>
          <w:color w:val="auto"/>
          <w:sz w:val="20"/>
          <w:szCs w:val="20"/>
        </w:rPr>
      </w:pPr>
      <w:r>
        <w:rPr>
          <w:noProof/>
          <w:color w:val="auto"/>
          <w:sz w:val="20"/>
          <w:szCs w:val="20"/>
          <w:lang w:eastAsia="en-GB"/>
        </w:rPr>
        <w:drawing>
          <wp:inline distT="0" distB="0" distL="0" distR="0">
            <wp:extent cx="6201315" cy="4629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3818" cy="4631018"/>
                    </a:xfrm>
                    <a:prstGeom prst="rect">
                      <a:avLst/>
                    </a:prstGeom>
                    <a:noFill/>
                    <a:ln>
                      <a:noFill/>
                    </a:ln>
                  </pic:spPr>
                </pic:pic>
              </a:graphicData>
            </a:graphic>
          </wp:inline>
        </w:drawing>
      </w:r>
    </w:p>
    <w:p w:rsidR="00D607EA" w:rsidRDefault="00D607EA" w:rsidP="00C06ACC">
      <w:pPr>
        <w:pStyle w:val="Default"/>
        <w:rPr>
          <w:color w:val="auto"/>
          <w:sz w:val="20"/>
          <w:szCs w:val="20"/>
        </w:rPr>
      </w:pPr>
    </w:p>
    <w:p w:rsidR="00D607EA" w:rsidRDefault="00D607EA" w:rsidP="00D607EA">
      <w:pPr>
        <w:pStyle w:val="Default"/>
        <w:jc w:val="center"/>
        <w:rPr>
          <w:color w:val="auto"/>
          <w:sz w:val="20"/>
          <w:szCs w:val="20"/>
        </w:rPr>
      </w:pPr>
    </w:p>
    <w:p w:rsidR="00D607EA" w:rsidRDefault="00D607EA" w:rsidP="00D607EA">
      <w:pPr>
        <w:pStyle w:val="Default"/>
        <w:jc w:val="center"/>
        <w:rPr>
          <w:color w:val="auto"/>
          <w:sz w:val="20"/>
          <w:szCs w:val="20"/>
        </w:rPr>
      </w:pPr>
    </w:p>
    <w:p w:rsidR="00D607EA" w:rsidRDefault="00D607EA" w:rsidP="00D607EA">
      <w:pPr>
        <w:pStyle w:val="Default"/>
        <w:jc w:val="center"/>
        <w:rPr>
          <w:color w:val="auto"/>
          <w:sz w:val="20"/>
          <w:szCs w:val="20"/>
        </w:rPr>
      </w:pPr>
    </w:p>
    <w:p w:rsidR="00D607EA" w:rsidRDefault="00D607EA" w:rsidP="00D607EA">
      <w:pPr>
        <w:pStyle w:val="Default"/>
        <w:jc w:val="center"/>
        <w:rPr>
          <w:color w:val="auto"/>
          <w:sz w:val="20"/>
          <w:szCs w:val="20"/>
        </w:rPr>
      </w:pPr>
    </w:p>
    <w:p w:rsidR="00D607EA" w:rsidRDefault="00D607EA" w:rsidP="00C06ACC">
      <w:pPr>
        <w:pStyle w:val="Default"/>
        <w:rPr>
          <w:color w:val="auto"/>
          <w:sz w:val="20"/>
          <w:szCs w:val="20"/>
        </w:rPr>
      </w:pPr>
    </w:p>
    <w:p w:rsidR="00C06ACC" w:rsidRPr="00437204" w:rsidRDefault="00C06ACC" w:rsidP="00437204">
      <w:pPr>
        <w:pStyle w:val="Default"/>
        <w:jc w:val="center"/>
        <w:rPr>
          <w:sz w:val="28"/>
          <w:szCs w:val="28"/>
          <w:u w:val="single"/>
        </w:rPr>
      </w:pPr>
      <w:r w:rsidRPr="00437204">
        <w:rPr>
          <w:sz w:val="28"/>
          <w:szCs w:val="28"/>
          <w:u w:val="single"/>
        </w:rPr>
        <w:t>Royal College of Emergency Medicine guidance on managing VITT</w:t>
      </w:r>
    </w:p>
    <w:p w:rsidR="00D607EA" w:rsidRDefault="00D607EA" w:rsidP="00C06ACC">
      <w:pPr>
        <w:pStyle w:val="Default"/>
        <w:rPr>
          <w:sz w:val="28"/>
          <w:szCs w:val="28"/>
        </w:rPr>
      </w:pPr>
    </w:p>
    <w:p w:rsidR="00D607EA" w:rsidRDefault="00D607EA" w:rsidP="00D607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Vaccine (COVID-19) Immune </w:t>
      </w:r>
      <w:proofErr w:type="spellStart"/>
      <w:r>
        <w:rPr>
          <w:rFonts w:ascii="Calibri" w:hAnsi="Calibri" w:cs="Calibri"/>
          <w:sz w:val="24"/>
          <w:szCs w:val="24"/>
        </w:rPr>
        <w:t>Thrombocytopaenia</w:t>
      </w:r>
      <w:proofErr w:type="spellEnd"/>
      <w:r>
        <w:rPr>
          <w:rFonts w:ascii="Calibri" w:hAnsi="Calibri" w:cs="Calibri"/>
          <w:sz w:val="24"/>
          <w:szCs w:val="24"/>
        </w:rPr>
        <w:t xml:space="preserve"> and Thrombosis (VITT) is a rare disorder</w:t>
      </w:r>
    </w:p>
    <w:p w:rsidR="00D607EA" w:rsidRDefault="00D607EA" w:rsidP="00D607EA">
      <w:pPr>
        <w:autoSpaceDE w:val="0"/>
        <w:autoSpaceDN w:val="0"/>
        <w:adjustRightInd w:val="0"/>
        <w:spacing w:after="0" w:line="240" w:lineRule="auto"/>
        <w:rPr>
          <w:rFonts w:ascii="Calibri" w:hAnsi="Calibri" w:cs="Calibri"/>
          <w:sz w:val="24"/>
          <w:szCs w:val="24"/>
        </w:rPr>
      </w:pPr>
      <w:proofErr w:type="gramStart"/>
      <w:r>
        <w:rPr>
          <w:rFonts w:ascii="Calibri" w:hAnsi="Calibri" w:cs="Calibri"/>
          <w:sz w:val="24"/>
          <w:szCs w:val="24"/>
        </w:rPr>
        <w:t>occurring</w:t>
      </w:r>
      <w:proofErr w:type="gramEnd"/>
      <w:r>
        <w:rPr>
          <w:rFonts w:ascii="Calibri" w:hAnsi="Calibri" w:cs="Calibri"/>
          <w:sz w:val="24"/>
          <w:szCs w:val="24"/>
        </w:rPr>
        <w:t xml:space="preserve"> after COVID-19 vaccination and leading to blood clots in multiple organ sites</w:t>
      </w:r>
    </w:p>
    <w:p w:rsidR="00D607EA" w:rsidRDefault="00D607EA" w:rsidP="00D607EA">
      <w:pPr>
        <w:autoSpaceDE w:val="0"/>
        <w:autoSpaceDN w:val="0"/>
        <w:adjustRightInd w:val="0"/>
        <w:spacing w:after="0" w:line="240" w:lineRule="auto"/>
        <w:rPr>
          <w:rFonts w:ascii="Calibri" w:hAnsi="Calibri" w:cs="Calibri"/>
          <w:sz w:val="24"/>
          <w:szCs w:val="24"/>
        </w:rPr>
      </w:pPr>
      <w:proofErr w:type="gramStart"/>
      <w:r>
        <w:rPr>
          <w:rFonts w:ascii="Calibri" w:hAnsi="Calibri" w:cs="Calibri"/>
          <w:sz w:val="24"/>
          <w:szCs w:val="24"/>
        </w:rPr>
        <w:t>including</w:t>
      </w:r>
      <w:proofErr w:type="gramEnd"/>
      <w:r>
        <w:rPr>
          <w:rFonts w:ascii="Calibri" w:hAnsi="Calibri" w:cs="Calibri"/>
          <w:sz w:val="24"/>
          <w:szCs w:val="24"/>
        </w:rPr>
        <w:t xml:space="preserve"> the venous sinuses of the brain. Untreated the risk of death is over 50%.</w:t>
      </w:r>
    </w:p>
    <w:p w:rsidR="00D607EA" w:rsidRDefault="00D607EA" w:rsidP="00D607EA">
      <w:pPr>
        <w:autoSpaceDE w:val="0"/>
        <w:autoSpaceDN w:val="0"/>
        <w:adjustRightInd w:val="0"/>
        <w:spacing w:after="0" w:line="240" w:lineRule="auto"/>
        <w:rPr>
          <w:rFonts w:ascii="Calibri" w:hAnsi="Calibri" w:cs="Calibri"/>
          <w:sz w:val="24"/>
          <w:szCs w:val="24"/>
        </w:rPr>
      </w:pPr>
    </w:p>
    <w:p w:rsidR="00D607EA" w:rsidRDefault="00D607EA" w:rsidP="00D607EA">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There has been much discussion and debate and many guidelines produced but we</w:t>
      </w:r>
      <w:r>
        <w:rPr>
          <w:rFonts w:ascii="Calibri" w:hAnsi="Calibri" w:cs="Calibri"/>
          <w:sz w:val="24"/>
          <w:szCs w:val="24"/>
        </w:rPr>
        <w:t xml:space="preserve"> (Lead Consultant Physician, CRH) have </w:t>
      </w:r>
      <w:r>
        <w:rPr>
          <w:rFonts w:ascii="Calibri" w:hAnsi="Calibri" w:cs="Calibri"/>
          <w:sz w:val="24"/>
          <w:szCs w:val="24"/>
        </w:rPr>
        <w:t>chosen to use the Royal College of Emergency Medicine (R</w:t>
      </w:r>
      <w:r>
        <w:rPr>
          <w:rFonts w:ascii="Calibri" w:hAnsi="Calibri" w:cs="Calibri"/>
          <w:sz w:val="24"/>
          <w:szCs w:val="24"/>
        </w:rPr>
        <w:t xml:space="preserve">CEM) guidance for managing VITT </w:t>
      </w:r>
      <w:r>
        <w:rPr>
          <w:rFonts w:ascii="Calibri" w:hAnsi="Calibri" w:cs="Calibri"/>
          <w:sz w:val="24"/>
          <w:szCs w:val="24"/>
        </w:rPr>
        <w:t>which has multi-societal agreement.</w:t>
      </w:r>
    </w:p>
    <w:p w:rsidR="00D607EA" w:rsidRDefault="00D607EA" w:rsidP="00D607EA">
      <w:pPr>
        <w:autoSpaceDE w:val="0"/>
        <w:autoSpaceDN w:val="0"/>
        <w:adjustRightInd w:val="0"/>
        <w:spacing w:after="0" w:line="240" w:lineRule="auto"/>
        <w:rPr>
          <w:rFonts w:ascii="Calibri" w:hAnsi="Calibri" w:cs="Calibri"/>
          <w:sz w:val="24"/>
          <w:szCs w:val="24"/>
        </w:rPr>
      </w:pPr>
    </w:p>
    <w:p w:rsidR="00D607EA" w:rsidRPr="00D607EA" w:rsidRDefault="00D607EA" w:rsidP="00D607EA">
      <w:pPr>
        <w:autoSpaceDE w:val="0"/>
        <w:autoSpaceDN w:val="0"/>
        <w:adjustRightInd w:val="0"/>
        <w:spacing w:after="0" w:line="240" w:lineRule="auto"/>
        <w:rPr>
          <w:rFonts w:cstheme="minorHAnsi"/>
          <w:sz w:val="24"/>
          <w:szCs w:val="24"/>
        </w:rPr>
      </w:pPr>
      <w:r w:rsidRPr="00D607EA">
        <w:rPr>
          <w:rFonts w:cstheme="minorHAnsi"/>
          <w:sz w:val="24"/>
          <w:szCs w:val="24"/>
        </w:rPr>
        <w:t>Abdominal Venous Doppler</w:t>
      </w:r>
      <w:r>
        <w:rPr>
          <w:rFonts w:cstheme="minorHAnsi"/>
          <w:sz w:val="24"/>
          <w:szCs w:val="24"/>
        </w:rPr>
        <w:t>:</w:t>
      </w:r>
    </w:p>
    <w:p w:rsidR="00D607EA" w:rsidRPr="00D607EA" w:rsidRDefault="00D607EA" w:rsidP="00D607EA">
      <w:pPr>
        <w:autoSpaceDE w:val="0"/>
        <w:autoSpaceDN w:val="0"/>
        <w:adjustRightInd w:val="0"/>
        <w:spacing w:after="0" w:line="240" w:lineRule="auto"/>
        <w:rPr>
          <w:rFonts w:cstheme="minorHAnsi"/>
          <w:sz w:val="24"/>
          <w:szCs w:val="24"/>
        </w:rPr>
      </w:pPr>
      <w:r w:rsidRPr="00D607EA">
        <w:rPr>
          <w:rFonts w:cstheme="minorHAnsi"/>
          <w:sz w:val="24"/>
          <w:szCs w:val="24"/>
        </w:rPr>
        <w:t>Patients with VITT and no abdominal symptoms please request Doppler examination of the</w:t>
      </w:r>
    </w:p>
    <w:p w:rsidR="00D607EA" w:rsidRPr="00D607EA" w:rsidRDefault="00D607EA" w:rsidP="00D607EA">
      <w:pPr>
        <w:autoSpaceDE w:val="0"/>
        <w:autoSpaceDN w:val="0"/>
        <w:adjustRightInd w:val="0"/>
        <w:spacing w:after="0" w:line="240" w:lineRule="auto"/>
        <w:rPr>
          <w:rFonts w:cstheme="minorHAnsi"/>
          <w:sz w:val="24"/>
          <w:szCs w:val="24"/>
        </w:rPr>
      </w:pPr>
      <w:proofErr w:type="gramStart"/>
      <w:r w:rsidRPr="00D607EA">
        <w:rPr>
          <w:rFonts w:cstheme="minorHAnsi"/>
          <w:sz w:val="24"/>
          <w:szCs w:val="24"/>
        </w:rPr>
        <w:t>portal</w:t>
      </w:r>
      <w:proofErr w:type="gramEnd"/>
      <w:r w:rsidRPr="00D607EA">
        <w:rPr>
          <w:rFonts w:cstheme="minorHAnsi"/>
          <w:sz w:val="24"/>
          <w:szCs w:val="24"/>
        </w:rPr>
        <w:t xml:space="preserve"> vein and splanchnic vessels which should be done within 48h for this group if truly</w:t>
      </w:r>
    </w:p>
    <w:p w:rsidR="00D607EA" w:rsidRDefault="00D607EA" w:rsidP="00D607EA">
      <w:pPr>
        <w:autoSpaceDE w:val="0"/>
        <w:autoSpaceDN w:val="0"/>
        <w:adjustRightInd w:val="0"/>
        <w:spacing w:after="0" w:line="240" w:lineRule="auto"/>
        <w:rPr>
          <w:rFonts w:cstheme="minorHAnsi"/>
          <w:sz w:val="24"/>
          <w:szCs w:val="24"/>
        </w:rPr>
      </w:pPr>
      <w:proofErr w:type="gramStart"/>
      <w:r w:rsidRPr="00D607EA">
        <w:rPr>
          <w:rFonts w:cstheme="minorHAnsi"/>
          <w:b/>
          <w:bCs/>
          <w:sz w:val="24"/>
          <w:szCs w:val="24"/>
        </w:rPr>
        <w:t>asymptomatic</w:t>
      </w:r>
      <w:proofErr w:type="gramEnd"/>
      <w:r w:rsidRPr="00D607EA">
        <w:rPr>
          <w:rFonts w:cstheme="minorHAnsi"/>
          <w:sz w:val="24"/>
          <w:szCs w:val="24"/>
        </w:rPr>
        <w:t xml:space="preserve">. </w:t>
      </w:r>
    </w:p>
    <w:p w:rsidR="00D607EA" w:rsidRDefault="00D607EA" w:rsidP="00D607EA">
      <w:pPr>
        <w:autoSpaceDE w:val="0"/>
        <w:autoSpaceDN w:val="0"/>
        <w:adjustRightInd w:val="0"/>
        <w:spacing w:after="0" w:line="240" w:lineRule="auto"/>
        <w:rPr>
          <w:rFonts w:cstheme="minorHAnsi"/>
          <w:sz w:val="24"/>
          <w:szCs w:val="24"/>
        </w:rPr>
      </w:pPr>
    </w:p>
    <w:p w:rsidR="00D607EA" w:rsidRPr="00D607EA" w:rsidRDefault="00D607EA" w:rsidP="00D607EA">
      <w:pPr>
        <w:autoSpaceDE w:val="0"/>
        <w:autoSpaceDN w:val="0"/>
        <w:adjustRightInd w:val="0"/>
        <w:spacing w:after="0" w:line="240" w:lineRule="auto"/>
        <w:rPr>
          <w:rFonts w:cstheme="minorHAnsi"/>
          <w:sz w:val="24"/>
          <w:szCs w:val="24"/>
        </w:rPr>
      </w:pPr>
      <w:r w:rsidRPr="00D607EA">
        <w:rPr>
          <w:rFonts w:cstheme="minorHAnsi"/>
          <w:sz w:val="24"/>
          <w:szCs w:val="24"/>
        </w:rPr>
        <w:t>Request must include the following information:</w:t>
      </w:r>
    </w:p>
    <w:p w:rsidR="00D607EA" w:rsidRPr="00D607EA" w:rsidRDefault="00D607EA" w:rsidP="00D607EA">
      <w:pPr>
        <w:autoSpaceDE w:val="0"/>
        <w:autoSpaceDN w:val="0"/>
        <w:adjustRightInd w:val="0"/>
        <w:spacing w:after="0" w:line="240" w:lineRule="auto"/>
        <w:rPr>
          <w:rFonts w:cstheme="minorHAnsi"/>
          <w:sz w:val="24"/>
          <w:szCs w:val="24"/>
        </w:rPr>
      </w:pPr>
      <w:r w:rsidRPr="00D607EA">
        <w:rPr>
          <w:rFonts w:cstheme="minorHAnsi"/>
          <w:sz w:val="24"/>
          <w:szCs w:val="24"/>
        </w:rPr>
        <w:t>Clinical details – patient with VITT suspecting portal vein or splanchnic vessel thrombosis</w:t>
      </w:r>
    </w:p>
    <w:p w:rsidR="00D607EA" w:rsidRPr="00D607EA" w:rsidRDefault="00D607EA" w:rsidP="00D607EA">
      <w:pPr>
        <w:autoSpaceDE w:val="0"/>
        <w:autoSpaceDN w:val="0"/>
        <w:adjustRightInd w:val="0"/>
        <w:spacing w:after="0" w:line="240" w:lineRule="auto"/>
        <w:rPr>
          <w:rFonts w:cstheme="minorHAnsi"/>
          <w:sz w:val="24"/>
          <w:szCs w:val="24"/>
        </w:rPr>
      </w:pPr>
      <w:r w:rsidRPr="00D607EA">
        <w:rPr>
          <w:rFonts w:cstheme="minorHAnsi"/>
          <w:sz w:val="24"/>
          <w:szCs w:val="24"/>
        </w:rPr>
        <w:t>Days since Vaccine</w:t>
      </w:r>
    </w:p>
    <w:p w:rsidR="00D607EA" w:rsidRPr="00D607EA" w:rsidRDefault="00D607EA" w:rsidP="00D607EA">
      <w:pPr>
        <w:autoSpaceDE w:val="0"/>
        <w:autoSpaceDN w:val="0"/>
        <w:adjustRightInd w:val="0"/>
        <w:spacing w:after="0" w:line="240" w:lineRule="auto"/>
        <w:rPr>
          <w:rFonts w:cstheme="minorHAnsi"/>
          <w:sz w:val="24"/>
          <w:szCs w:val="24"/>
        </w:rPr>
      </w:pPr>
      <w:r w:rsidRPr="00D607EA">
        <w:rPr>
          <w:rFonts w:cstheme="minorHAnsi"/>
          <w:sz w:val="24"/>
          <w:szCs w:val="24"/>
        </w:rPr>
        <w:t>D dimer result</w:t>
      </w:r>
    </w:p>
    <w:p w:rsidR="00D607EA" w:rsidRPr="00D607EA" w:rsidRDefault="00D607EA" w:rsidP="00D607EA">
      <w:pPr>
        <w:autoSpaceDE w:val="0"/>
        <w:autoSpaceDN w:val="0"/>
        <w:adjustRightInd w:val="0"/>
        <w:spacing w:after="0" w:line="240" w:lineRule="auto"/>
        <w:rPr>
          <w:rFonts w:cstheme="minorHAnsi"/>
          <w:sz w:val="24"/>
          <w:szCs w:val="24"/>
        </w:rPr>
      </w:pPr>
      <w:r w:rsidRPr="00D607EA">
        <w:rPr>
          <w:rFonts w:cstheme="minorHAnsi"/>
          <w:sz w:val="24"/>
          <w:szCs w:val="24"/>
        </w:rPr>
        <w:t>Platelet count</w:t>
      </w:r>
    </w:p>
    <w:p w:rsidR="00D607EA" w:rsidRPr="00D607EA" w:rsidRDefault="00D607EA" w:rsidP="00D607EA">
      <w:pPr>
        <w:autoSpaceDE w:val="0"/>
        <w:autoSpaceDN w:val="0"/>
        <w:adjustRightInd w:val="0"/>
        <w:spacing w:after="0" w:line="240" w:lineRule="auto"/>
        <w:rPr>
          <w:rFonts w:cstheme="minorHAnsi"/>
          <w:sz w:val="24"/>
          <w:szCs w:val="24"/>
        </w:rPr>
      </w:pPr>
      <w:r w:rsidRPr="00D607EA">
        <w:rPr>
          <w:rFonts w:cstheme="minorHAnsi"/>
          <w:sz w:val="24"/>
          <w:szCs w:val="24"/>
        </w:rPr>
        <w:t xml:space="preserve">Name of Clinician undertaken the </w:t>
      </w:r>
      <w:proofErr w:type="gramStart"/>
      <w:r w:rsidRPr="00D607EA">
        <w:rPr>
          <w:rFonts w:cstheme="minorHAnsi"/>
          <w:sz w:val="24"/>
          <w:szCs w:val="24"/>
        </w:rPr>
        <w:t>Senior</w:t>
      </w:r>
      <w:proofErr w:type="gramEnd"/>
      <w:r w:rsidRPr="00D607EA">
        <w:rPr>
          <w:rFonts w:cstheme="minorHAnsi"/>
          <w:sz w:val="24"/>
          <w:szCs w:val="24"/>
        </w:rPr>
        <w:t xml:space="preserve"> review</w:t>
      </w:r>
    </w:p>
    <w:p w:rsidR="00D607EA" w:rsidRDefault="00D607EA" w:rsidP="00D607EA">
      <w:pPr>
        <w:autoSpaceDE w:val="0"/>
        <w:autoSpaceDN w:val="0"/>
        <w:adjustRightInd w:val="0"/>
        <w:spacing w:after="0" w:line="240" w:lineRule="auto"/>
        <w:rPr>
          <w:rFonts w:cstheme="minorHAnsi"/>
          <w:sz w:val="24"/>
          <w:szCs w:val="24"/>
        </w:rPr>
      </w:pPr>
      <w:r w:rsidRPr="00D607EA">
        <w:rPr>
          <w:rFonts w:cstheme="minorHAnsi"/>
          <w:sz w:val="24"/>
          <w:szCs w:val="24"/>
        </w:rPr>
        <w:t>Doppler examination as per haematology guidance</w:t>
      </w:r>
    </w:p>
    <w:p w:rsidR="00B8013F" w:rsidRDefault="00B8013F" w:rsidP="00D607EA">
      <w:pPr>
        <w:autoSpaceDE w:val="0"/>
        <w:autoSpaceDN w:val="0"/>
        <w:adjustRightInd w:val="0"/>
        <w:spacing w:after="0" w:line="240" w:lineRule="auto"/>
        <w:rPr>
          <w:rFonts w:cstheme="minorHAnsi"/>
          <w:sz w:val="24"/>
          <w:szCs w:val="24"/>
        </w:rPr>
      </w:pPr>
    </w:p>
    <w:p w:rsidR="00B8013F" w:rsidRDefault="00B8013F" w:rsidP="00D607EA">
      <w:pPr>
        <w:autoSpaceDE w:val="0"/>
        <w:autoSpaceDN w:val="0"/>
        <w:adjustRightInd w:val="0"/>
        <w:spacing w:after="0" w:line="240" w:lineRule="auto"/>
        <w:rPr>
          <w:rFonts w:cstheme="minorHAnsi"/>
          <w:sz w:val="24"/>
          <w:szCs w:val="24"/>
        </w:rPr>
      </w:pPr>
    </w:p>
    <w:p w:rsidR="00B8013F" w:rsidRDefault="00B8013F" w:rsidP="00D607EA">
      <w:pPr>
        <w:autoSpaceDE w:val="0"/>
        <w:autoSpaceDN w:val="0"/>
        <w:adjustRightInd w:val="0"/>
        <w:spacing w:after="0" w:line="240" w:lineRule="auto"/>
        <w:rPr>
          <w:rFonts w:cstheme="minorHAnsi"/>
          <w:sz w:val="24"/>
          <w:szCs w:val="24"/>
        </w:rPr>
      </w:pPr>
    </w:p>
    <w:p w:rsidR="00C06ACC" w:rsidRDefault="00C06ACC" w:rsidP="00C06ACC">
      <w:pPr>
        <w:pStyle w:val="Default"/>
        <w:rPr>
          <w:color w:val="auto"/>
          <w:sz w:val="20"/>
          <w:szCs w:val="20"/>
        </w:rPr>
      </w:pPr>
    </w:p>
    <w:p w:rsidR="00C06ACC" w:rsidRDefault="00D607EA" w:rsidP="00D607EA">
      <w:pPr>
        <w:pStyle w:val="Default"/>
        <w:jc w:val="center"/>
        <w:rPr>
          <w:color w:val="auto"/>
          <w:sz w:val="20"/>
          <w:szCs w:val="20"/>
        </w:rPr>
      </w:pPr>
      <w:r>
        <w:rPr>
          <w:color w:val="auto"/>
          <w:sz w:val="20"/>
          <w:szCs w:val="20"/>
        </w:rPr>
        <w:t>*********************</w:t>
      </w:r>
    </w:p>
    <w:p w:rsidR="00D607EA" w:rsidRDefault="00D607EA" w:rsidP="00D607EA">
      <w:pPr>
        <w:pStyle w:val="Default"/>
        <w:jc w:val="center"/>
        <w:rPr>
          <w:color w:val="auto"/>
          <w:sz w:val="20"/>
          <w:szCs w:val="20"/>
        </w:rPr>
      </w:pPr>
    </w:p>
    <w:p w:rsidR="00B8013F" w:rsidRDefault="00B8013F" w:rsidP="00D607EA">
      <w:pPr>
        <w:pStyle w:val="Default"/>
        <w:jc w:val="center"/>
        <w:rPr>
          <w:color w:val="auto"/>
          <w:sz w:val="20"/>
          <w:szCs w:val="20"/>
        </w:rPr>
      </w:pPr>
    </w:p>
    <w:p w:rsidR="00B8013F" w:rsidRDefault="00B8013F" w:rsidP="00D607EA">
      <w:pPr>
        <w:pStyle w:val="Default"/>
        <w:jc w:val="center"/>
        <w:rPr>
          <w:color w:val="auto"/>
          <w:sz w:val="20"/>
          <w:szCs w:val="20"/>
        </w:rPr>
      </w:pPr>
    </w:p>
    <w:p w:rsidR="00B8013F" w:rsidRDefault="00B8013F" w:rsidP="00D607EA">
      <w:pPr>
        <w:pStyle w:val="Default"/>
        <w:jc w:val="center"/>
        <w:rPr>
          <w:color w:val="auto"/>
          <w:sz w:val="20"/>
          <w:szCs w:val="20"/>
        </w:rPr>
      </w:pPr>
    </w:p>
    <w:p w:rsidR="00D607EA" w:rsidRPr="00C83A95" w:rsidRDefault="00D607EA" w:rsidP="00D607EA">
      <w:pPr>
        <w:pStyle w:val="Default"/>
        <w:jc w:val="center"/>
        <w:rPr>
          <w:color w:val="auto"/>
          <w:sz w:val="40"/>
          <w:szCs w:val="40"/>
          <w:u w:val="single"/>
        </w:rPr>
      </w:pPr>
      <w:r w:rsidRPr="00C83A95">
        <w:rPr>
          <w:color w:val="auto"/>
          <w:sz w:val="40"/>
          <w:szCs w:val="40"/>
          <w:u w:val="single"/>
        </w:rPr>
        <w:t xml:space="preserve">CRH Protocol </w:t>
      </w:r>
      <w:r w:rsidRPr="00C83A95">
        <w:rPr>
          <w:color w:val="auto"/>
          <w:u w:val="single"/>
        </w:rPr>
        <w:t>(23.04.2021)</w:t>
      </w:r>
    </w:p>
    <w:p w:rsidR="00D607EA" w:rsidRDefault="00D607EA" w:rsidP="00D607EA">
      <w:pPr>
        <w:pStyle w:val="Default"/>
        <w:rPr>
          <w:color w:val="auto"/>
          <w:sz w:val="20"/>
          <w:szCs w:val="20"/>
        </w:rPr>
      </w:pPr>
    </w:p>
    <w:p w:rsidR="00D607EA" w:rsidRDefault="00D607EA" w:rsidP="00D607EA">
      <w:pPr>
        <w:rPr>
          <w:rFonts w:ascii="Calibri" w:eastAsia="Times New Roman" w:hAnsi="Calibri" w:cs="Calibri"/>
          <w:color w:val="000000"/>
        </w:rPr>
      </w:pPr>
      <w:r>
        <w:rPr>
          <w:rFonts w:ascii="Calibri" w:eastAsia="Times New Roman" w:hAnsi="Calibri" w:cs="Calibri"/>
          <w:color w:val="000000"/>
          <w:u w:val="single"/>
        </w:rPr>
        <w:t>Abdominal imaging</w:t>
      </w:r>
    </w:p>
    <w:p w:rsidR="00D607EA" w:rsidRDefault="00D607EA" w:rsidP="00D607EA">
      <w:pPr>
        <w:rPr>
          <w:rFonts w:ascii="Calibri" w:eastAsia="Times New Roman" w:hAnsi="Calibri" w:cs="Calibri"/>
          <w:color w:val="000000"/>
        </w:rPr>
      </w:pPr>
      <w:r>
        <w:rPr>
          <w:rFonts w:ascii="Calibri" w:eastAsia="Times New Roman" w:hAnsi="Calibri" w:cs="Calibri"/>
          <w:color w:val="000000"/>
        </w:rPr>
        <w:t xml:space="preserve">The latest guidance includes 'routine abdominal imaging' for those with confirmed VITT after </w:t>
      </w:r>
      <w:proofErr w:type="gramStart"/>
      <w:r>
        <w:rPr>
          <w:rFonts w:ascii="Calibri" w:eastAsia="Times New Roman" w:hAnsi="Calibri" w:cs="Calibri"/>
          <w:color w:val="000000"/>
        </w:rPr>
        <w:t>d/w</w:t>
      </w:r>
      <w:proofErr w:type="gramEnd"/>
      <w:r>
        <w:rPr>
          <w:rFonts w:ascii="Calibri" w:eastAsia="Times New Roman" w:hAnsi="Calibri" w:cs="Calibri"/>
          <w:color w:val="000000"/>
        </w:rPr>
        <w:t xml:space="preserve"> haematology.</w:t>
      </w:r>
      <w:r>
        <w:rPr>
          <w:rFonts w:ascii="Calibri" w:eastAsia="Times New Roman" w:hAnsi="Calibri" w:cs="Calibri"/>
          <w:color w:val="000000"/>
        </w:rPr>
        <w:t xml:space="preserve"> </w:t>
      </w:r>
      <w:r>
        <w:rPr>
          <w:rFonts w:ascii="Calibri" w:eastAsia="Times New Roman" w:hAnsi="Calibri" w:cs="Calibri"/>
          <w:color w:val="000000"/>
        </w:rPr>
        <w:t>Th</w:t>
      </w:r>
      <w:r w:rsidR="00B8013F">
        <w:rPr>
          <w:rFonts w:ascii="Calibri" w:eastAsia="Times New Roman" w:hAnsi="Calibri" w:cs="Calibri"/>
          <w:color w:val="000000"/>
        </w:rPr>
        <w:t xml:space="preserve">is is an </w:t>
      </w:r>
      <w:proofErr w:type="spellStart"/>
      <w:r w:rsidR="00B8013F">
        <w:rPr>
          <w:rFonts w:ascii="Calibri" w:eastAsia="Times New Roman" w:hAnsi="Calibri" w:cs="Calibri"/>
          <w:color w:val="000000"/>
        </w:rPr>
        <w:t>everchanging</w:t>
      </w:r>
      <w:proofErr w:type="spellEnd"/>
      <w:r w:rsidR="00B8013F">
        <w:rPr>
          <w:rFonts w:ascii="Calibri" w:eastAsia="Times New Roman" w:hAnsi="Calibri" w:cs="Calibri"/>
          <w:color w:val="000000"/>
        </w:rPr>
        <w:t xml:space="preserve"> situation. N</w:t>
      </w:r>
      <w:r>
        <w:rPr>
          <w:rFonts w:ascii="Calibri" w:eastAsia="Times New Roman" w:hAnsi="Calibri" w:cs="Calibri"/>
          <w:color w:val="000000"/>
        </w:rPr>
        <w:t xml:space="preserve">umbers are increasing and the </w:t>
      </w:r>
      <w:r w:rsidR="00B8013F">
        <w:rPr>
          <w:rFonts w:ascii="Calibri" w:eastAsia="Times New Roman" w:hAnsi="Calibri" w:cs="Calibri"/>
          <w:color w:val="000000"/>
        </w:rPr>
        <w:t xml:space="preserve">reported </w:t>
      </w:r>
      <w:r>
        <w:rPr>
          <w:rFonts w:ascii="Calibri" w:eastAsia="Times New Roman" w:hAnsi="Calibri" w:cs="Calibri"/>
          <w:color w:val="000000"/>
        </w:rPr>
        <w:t xml:space="preserve">distribution of the clots </w:t>
      </w:r>
      <w:r w:rsidR="00B8013F">
        <w:rPr>
          <w:rFonts w:ascii="Calibri" w:eastAsia="Times New Roman" w:hAnsi="Calibri" w:cs="Calibri"/>
          <w:color w:val="000000"/>
        </w:rPr>
        <w:t>is</w:t>
      </w:r>
      <w:r>
        <w:rPr>
          <w:rFonts w:ascii="Calibri" w:eastAsia="Times New Roman" w:hAnsi="Calibri" w:cs="Calibri"/>
          <w:color w:val="000000"/>
        </w:rPr>
        <w:t xml:space="preserve"> becoming clearer and there is often involvement of the portal vein, SMV</w:t>
      </w:r>
      <w:r w:rsidR="00B8013F">
        <w:rPr>
          <w:rFonts w:ascii="Calibri" w:eastAsia="Times New Roman" w:hAnsi="Calibri" w:cs="Calibri"/>
          <w:color w:val="000000"/>
        </w:rPr>
        <w:t xml:space="preserve">, splenic vein </w:t>
      </w:r>
      <w:r>
        <w:rPr>
          <w:rFonts w:ascii="Calibri" w:eastAsia="Times New Roman" w:hAnsi="Calibri" w:cs="Calibri"/>
          <w:color w:val="000000"/>
        </w:rPr>
        <w:t>etc.</w:t>
      </w:r>
    </w:p>
    <w:p w:rsidR="00D607EA" w:rsidRDefault="00D607EA" w:rsidP="00D607EA">
      <w:pPr>
        <w:rPr>
          <w:rFonts w:ascii="Calibri" w:eastAsia="Times New Roman" w:hAnsi="Calibri" w:cs="Calibri"/>
          <w:color w:val="000000"/>
        </w:rPr>
      </w:pPr>
      <w:r>
        <w:rPr>
          <w:rFonts w:ascii="Calibri" w:eastAsia="Times New Roman" w:hAnsi="Calibri" w:cs="Calibri"/>
          <w:color w:val="000000"/>
        </w:rPr>
        <w:t xml:space="preserve">In proven VITT with no abdominal symptoms haematology are recommending </w:t>
      </w:r>
      <w:proofErr w:type="spellStart"/>
      <w:proofErr w:type="gramStart"/>
      <w:r>
        <w:rPr>
          <w:rFonts w:ascii="Calibri" w:eastAsia="Times New Roman" w:hAnsi="Calibri" w:cs="Calibri"/>
          <w:color w:val="000000"/>
        </w:rPr>
        <w:t>doppler</w:t>
      </w:r>
      <w:proofErr w:type="spellEnd"/>
      <w:proofErr w:type="gramEnd"/>
      <w:r>
        <w:rPr>
          <w:rFonts w:ascii="Calibri" w:eastAsia="Times New Roman" w:hAnsi="Calibri" w:cs="Calibri"/>
          <w:color w:val="000000"/>
        </w:rPr>
        <w:t xml:space="preserve"> of the </w:t>
      </w:r>
      <w:r w:rsidR="00B8013F">
        <w:rPr>
          <w:rFonts w:ascii="Calibri" w:eastAsia="Times New Roman" w:hAnsi="Calibri" w:cs="Calibri"/>
          <w:color w:val="000000"/>
        </w:rPr>
        <w:t xml:space="preserve">abdominal veins. </w:t>
      </w:r>
      <w:r>
        <w:rPr>
          <w:rFonts w:ascii="Calibri" w:eastAsia="Times New Roman" w:hAnsi="Calibri" w:cs="Calibri"/>
          <w:color w:val="000000"/>
        </w:rPr>
        <w:t xml:space="preserve"> </w:t>
      </w:r>
      <w:r w:rsidR="00B8013F">
        <w:rPr>
          <w:rFonts w:ascii="Calibri" w:eastAsia="Times New Roman" w:hAnsi="Calibri" w:cs="Calibri"/>
          <w:color w:val="000000"/>
        </w:rPr>
        <w:t xml:space="preserve">Ashleigh </w:t>
      </w:r>
      <w:proofErr w:type="spellStart"/>
      <w:r w:rsidR="00B8013F">
        <w:rPr>
          <w:rFonts w:ascii="Calibri" w:eastAsia="Times New Roman" w:hAnsi="Calibri" w:cs="Calibri"/>
          <w:color w:val="000000"/>
        </w:rPr>
        <w:t>Genever</w:t>
      </w:r>
      <w:proofErr w:type="spellEnd"/>
      <w:proofErr w:type="gramStart"/>
      <w:r w:rsidR="00B8013F">
        <w:rPr>
          <w:rFonts w:ascii="Calibri" w:eastAsia="Times New Roman" w:hAnsi="Calibri" w:cs="Calibri"/>
          <w:color w:val="000000"/>
        </w:rPr>
        <w:t xml:space="preserve">, </w:t>
      </w:r>
      <w:r>
        <w:rPr>
          <w:rFonts w:ascii="Calibri" w:eastAsia="Times New Roman" w:hAnsi="Calibri" w:cs="Calibri"/>
          <w:color w:val="000000"/>
        </w:rPr>
        <w:t xml:space="preserve"> Jon</w:t>
      </w:r>
      <w:proofErr w:type="gramEnd"/>
      <w:r>
        <w:rPr>
          <w:rFonts w:ascii="Calibri" w:eastAsia="Times New Roman" w:hAnsi="Calibri" w:cs="Calibri"/>
          <w:color w:val="000000"/>
        </w:rPr>
        <w:t xml:space="preserve"> </w:t>
      </w:r>
      <w:proofErr w:type="spellStart"/>
      <w:r>
        <w:rPr>
          <w:rFonts w:ascii="Calibri" w:eastAsia="Times New Roman" w:hAnsi="Calibri" w:cs="Calibri"/>
          <w:color w:val="000000"/>
        </w:rPr>
        <w:t>Cort</w:t>
      </w:r>
      <w:proofErr w:type="spellEnd"/>
      <w:r>
        <w:rPr>
          <w:rFonts w:ascii="Calibri" w:eastAsia="Times New Roman" w:hAnsi="Calibri" w:cs="Calibri"/>
          <w:color w:val="000000"/>
        </w:rPr>
        <w:t xml:space="preserve"> </w:t>
      </w:r>
      <w:r w:rsidR="00B8013F">
        <w:rPr>
          <w:rFonts w:ascii="Calibri" w:eastAsia="Times New Roman" w:hAnsi="Calibri" w:cs="Calibri"/>
          <w:color w:val="000000"/>
        </w:rPr>
        <w:t>,</w:t>
      </w:r>
      <w:r>
        <w:rPr>
          <w:rFonts w:ascii="Calibri" w:eastAsia="Times New Roman" w:hAnsi="Calibri" w:cs="Calibri"/>
          <w:color w:val="000000"/>
        </w:rPr>
        <w:t xml:space="preserve"> Mansur</w:t>
      </w:r>
      <w:r w:rsidR="00B8013F">
        <w:rPr>
          <w:rFonts w:ascii="Calibri" w:eastAsia="Times New Roman" w:hAnsi="Calibri" w:cs="Calibri"/>
          <w:color w:val="000000"/>
        </w:rPr>
        <w:t xml:space="preserve"> Reza and </w:t>
      </w:r>
      <w:r>
        <w:rPr>
          <w:rFonts w:ascii="Calibri" w:eastAsia="Times New Roman" w:hAnsi="Calibri" w:cs="Calibri"/>
          <w:color w:val="000000"/>
        </w:rPr>
        <w:t>Matt</w:t>
      </w:r>
      <w:r w:rsidR="00B8013F">
        <w:rPr>
          <w:rFonts w:ascii="Calibri" w:eastAsia="Times New Roman" w:hAnsi="Calibri" w:cs="Calibri"/>
          <w:color w:val="000000"/>
        </w:rPr>
        <w:t xml:space="preserve"> </w:t>
      </w:r>
      <w:proofErr w:type="spellStart"/>
      <w:r w:rsidR="00B8013F">
        <w:rPr>
          <w:rFonts w:ascii="Calibri" w:eastAsia="Times New Roman" w:hAnsi="Calibri" w:cs="Calibri"/>
          <w:color w:val="000000"/>
        </w:rPr>
        <w:t>Beardshall</w:t>
      </w:r>
      <w:proofErr w:type="spellEnd"/>
      <w:r>
        <w:rPr>
          <w:rFonts w:ascii="Calibri" w:eastAsia="Times New Roman" w:hAnsi="Calibri" w:cs="Calibri"/>
          <w:color w:val="000000"/>
        </w:rPr>
        <w:t xml:space="preserve"> </w:t>
      </w:r>
      <w:r w:rsidR="00B8013F">
        <w:rPr>
          <w:rFonts w:ascii="Calibri" w:eastAsia="Times New Roman" w:hAnsi="Calibri" w:cs="Calibri"/>
          <w:color w:val="000000"/>
        </w:rPr>
        <w:t xml:space="preserve"> </w:t>
      </w:r>
      <w:r>
        <w:rPr>
          <w:rFonts w:ascii="Calibri" w:eastAsia="Times New Roman" w:hAnsi="Calibri" w:cs="Calibri"/>
          <w:color w:val="000000"/>
        </w:rPr>
        <w:t>have agreed to the following</w:t>
      </w:r>
    </w:p>
    <w:p w:rsidR="00B8013F" w:rsidRDefault="00D607EA" w:rsidP="00D607EA">
      <w:pPr>
        <w:rPr>
          <w:rFonts w:ascii="Calibri" w:eastAsia="Times New Roman" w:hAnsi="Calibri" w:cs="Calibri"/>
          <w:color w:val="000000"/>
        </w:rPr>
      </w:pPr>
      <w:r>
        <w:rPr>
          <w:rFonts w:ascii="Calibri" w:eastAsia="Times New Roman" w:hAnsi="Calibri" w:cs="Calibri"/>
          <w:color w:val="000000"/>
        </w:rPr>
        <w:t xml:space="preserve">In asymptomatic VITT confirmed patients, they will have a limited US of the upper </w:t>
      </w:r>
      <w:proofErr w:type="spellStart"/>
      <w:r>
        <w:rPr>
          <w:rFonts w:ascii="Calibri" w:eastAsia="Times New Roman" w:hAnsi="Calibri" w:cs="Calibri"/>
          <w:color w:val="000000"/>
        </w:rPr>
        <w:t>abdo</w:t>
      </w:r>
      <w:proofErr w:type="spellEnd"/>
      <w:r>
        <w:rPr>
          <w:rFonts w:ascii="Calibri" w:eastAsia="Times New Roman" w:hAnsi="Calibri" w:cs="Calibri"/>
          <w:color w:val="000000"/>
        </w:rPr>
        <w:t xml:space="preserve"> for PV/Splanchnic thrombus within 48h.</w:t>
      </w:r>
    </w:p>
    <w:p w:rsidR="00D607EA" w:rsidRPr="00C83A95" w:rsidRDefault="00D607EA" w:rsidP="00D607EA">
      <w:pPr>
        <w:rPr>
          <w:rFonts w:ascii="Calibri" w:eastAsia="Times New Roman" w:hAnsi="Calibri" w:cs="Calibri"/>
          <w:color w:val="000000"/>
          <w:u w:val="single"/>
        </w:rPr>
      </w:pPr>
      <w:r w:rsidRPr="00C83A95">
        <w:rPr>
          <w:rFonts w:ascii="Calibri" w:eastAsia="Times New Roman" w:hAnsi="Calibri" w:cs="Calibri"/>
          <w:color w:val="000000"/>
          <w:u w:val="single"/>
        </w:rPr>
        <w:lastRenderedPageBreak/>
        <w:t>The request will state</w:t>
      </w:r>
      <w:r w:rsidR="00B8013F" w:rsidRPr="00C83A95">
        <w:rPr>
          <w:rFonts w:ascii="Calibri" w:eastAsia="Times New Roman" w:hAnsi="Calibri" w:cs="Calibri"/>
          <w:color w:val="000000"/>
          <w:u w:val="single"/>
        </w:rPr>
        <w:t>:</w:t>
      </w:r>
    </w:p>
    <w:p w:rsidR="00D607EA" w:rsidRPr="00C83A95" w:rsidRDefault="00D607EA" w:rsidP="00D607EA">
      <w:pPr>
        <w:rPr>
          <w:rFonts w:ascii="Calibri" w:eastAsia="Times New Roman" w:hAnsi="Calibri" w:cs="Calibri"/>
          <w:b/>
          <w:color w:val="000000"/>
        </w:rPr>
      </w:pPr>
      <w:r w:rsidRPr="00C83A95">
        <w:rPr>
          <w:rFonts w:ascii="Calibri" w:eastAsia="Times New Roman" w:hAnsi="Calibri" w:cs="Calibri"/>
          <w:b/>
          <w:color w:val="000000"/>
        </w:rPr>
        <w:t>VITT</w:t>
      </w:r>
    </w:p>
    <w:p w:rsidR="00D607EA" w:rsidRDefault="00D607EA" w:rsidP="00D607EA">
      <w:pPr>
        <w:rPr>
          <w:rFonts w:ascii="Calibri" w:eastAsia="Times New Roman" w:hAnsi="Calibri" w:cs="Calibri"/>
          <w:color w:val="000000"/>
        </w:rPr>
      </w:pPr>
      <w:r w:rsidRPr="00C83A95">
        <w:rPr>
          <w:rFonts w:ascii="Calibri" w:eastAsia="Times New Roman" w:hAnsi="Calibri" w:cs="Calibri"/>
          <w:b/>
          <w:color w:val="000000"/>
        </w:rPr>
        <w:t>Days since vaccine</w:t>
      </w:r>
      <w:r w:rsidR="00B8013F">
        <w:rPr>
          <w:rFonts w:ascii="Calibri" w:eastAsia="Times New Roman" w:hAnsi="Calibri" w:cs="Calibri"/>
          <w:color w:val="000000"/>
        </w:rPr>
        <w:tab/>
      </w:r>
      <w:r w:rsidR="00B8013F">
        <w:rPr>
          <w:rFonts w:ascii="Calibri" w:eastAsia="Times New Roman" w:hAnsi="Calibri" w:cs="Calibri"/>
          <w:color w:val="000000"/>
        </w:rPr>
        <w:tab/>
      </w:r>
      <w:r w:rsidR="00B8013F" w:rsidRPr="00C83A95">
        <w:rPr>
          <w:rFonts w:ascii="Calibri" w:eastAsia="Times New Roman" w:hAnsi="Calibri" w:cs="Calibri"/>
          <w:color w:val="000000"/>
          <w:highlight w:val="yellow"/>
        </w:rPr>
        <w:t>(5 – 30)</w:t>
      </w:r>
    </w:p>
    <w:p w:rsidR="00D607EA" w:rsidRDefault="00D607EA" w:rsidP="00D607EA">
      <w:pPr>
        <w:rPr>
          <w:rFonts w:ascii="Calibri" w:eastAsia="Times New Roman" w:hAnsi="Calibri" w:cs="Calibri"/>
          <w:color w:val="000000"/>
        </w:rPr>
      </w:pPr>
      <w:r w:rsidRPr="00C83A95">
        <w:rPr>
          <w:rFonts w:ascii="Calibri" w:eastAsia="Times New Roman" w:hAnsi="Calibri" w:cs="Calibri"/>
          <w:b/>
          <w:color w:val="000000"/>
        </w:rPr>
        <w:t>Platelets</w:t>
      </w:r>
      <w:r w:rsidR="00B8013F">
        <w:rPr>
          <w:rFonts w:ascii="Calibri" w:eastAsia="Times New Roman" w:hAnsi="Calibri" w:cs="Calibri"/>
          <w:color w:val="000000"/>
        </w:rPr>
        <w:tab/>
      </w:r>
      <w:r w:rsidR="00B8013F">
        <w:rPr>
          <w:rFonts w:ascii="Calibri" w:eastAsia="Times New Roman" w:hAnsi="Calibri" w:cs="Calibri"/>
          <w:color w:val="000000"/>
        </w:rPr>
        <w:tab/>
      </w:r>
      <w:r w:rsidR="00B8013F">
        <w:rPr>
          <w:rFonts w:ascii="Calibri" w:eastAsia="Times New Roman" w:hAnsi="Calibri" w:cs="Calibri"/>
          <w:color w:val="000000"/>
        </w:rPr>
        <w:tab/>
      </w:r>
      <w:r w:rsidR="00B8013F" w:rsidRPr="00C83A95">
        <w:rPr>
          <w:rFonts w:ascii="Calibri" w:eastAsia="Times New Roman" w:hAnsi="Calibri" w:cs="Calibri"/>
          <w:color w:val="000000"/>
          <w:highlight w:val="yellow"/>
        </w:rPr>
        <w:t>(&lt;150)</w:t>
      </w:r>
    </w:p>
    <w:p w:rsidR="00D607EA" w:rsidRDefault="00D607EA" w:rsidP="00D607EA">
      <w:pPr>
        <w:rPr>
          <w:rFonts w:ascii="Calibri" w:eastAsia="Times New Roman" w:hAnsi="Calibri" w:cs="Calibri"/>
          <w:color w:val="000000"/>
        </w:rPr>
      </w:pPr>
      <w:r w:rsidRPr="00C83A95">
        <w:rPr>
          <w:rFonts w:ascii="Calibri" w:eastAsia="Times New Roman" w:hAnsi="Calibri" w:cs="Calibri"/>
          <w:b/>
          <w:color w:val="000000"/>
        </w:rPr>
        <w:t>D Dimer</w:t>
      </w:r>
      <w:r w:rsidR="00B8013F">
        <w:rPr>
          <w:rFonts w:ascii="Calibri" w:eastAsia="Times New Roman" w:hAnsi="Calibri" w:cs="Calibri"/>
          <w:color w:val="000000"/>
        </w:rPr>
        <w:tab/>
      </w:r>
      <w:r w:rsidR="00B8013F">
        <w:rPr>
          <w:rFonts w:ascii="Calibri" w:eastAsia="Times New Roman" w:hAnsi="Calibri" w:cs="Calibri"/>
          <w:color w:val="000000"/>
        </w:rPr>
        <w:tab/>
      </w:r>
      <w:r w:rsidR="00B8013F">
        <w:rPr>
          <w:rFonts w:ascii="Calibri" w:eastAsia="Times New Roman" w:hAnsi="Calibri" w:cs="Calibri"/>
          <w:color w:val="000000"/>
        </w:rPr>
        <w:tab/>
      </w:r>
      <w:r w:rsidR="00B8013F" w:rsidRPr="00C83A95">
        <w:rPr>
          <w:rFonts w:ascii="Calibri" w:eastAsia="Times New Roman" w:hAnsi="Calibri" w:cs="Calibri"/>
          <w:color w:val="000000"/>
          <w:highlight w:val="yellow"/>
        </w:rPr>
        <w:t>(&gt;4000, OR &gt;2000 with strong clinical suspicion)</w:t>
      </w:r>
    </w:p>
    <w:p w:rsidR="00D607EA" w:rsidRPr="00C83A95" w:rsidRDefault="00D607EA" w:rsidP="00D607EA">
      <w:pPr>
        <w:rPr>
          <w:rFonts w:ascii="Calibri" w:eastAsia="Times New Roman" w:hAnsi="Calibri" w:cs="Calibri"/>
          <w:b/>
          <w:color w:val="000000"/>
        </w:rPr>
      </w:pPr>
      <w:r w:rsidRPr="00C83A95">
        <w:rPr>
          <w:rFonts w:ascii="Calibri" w:eastAsia="Times New Roman" w:hAnsi="Calibri" w:cs="Calibri"/>
          <w:b/>
          <w:color w:val="000000"/>
        </w:rPr>
        <w:t>Senior review</w:t>
      </w:r>
    </w:p>
    <w:p w:rsidR="00D607EA" w:rsidRPr="00C83A95" w:rsidRDefault="00D607EA" w:rsidP="00D607EA">
      <w:pPr>
        <w:rPr>
          <w:rFonts w:ascii="Calibri" w:eastAsia="Times New Roman" w:hAnsi="Calibri" w:cs="Calibri"/>
          <w:b/>
          <w:color w:val="000000"/>
        </w:rPr>
      </w:pPr>
      <w:r w:rsidRPr="00C83A95">
        <w:rPr>
          <w:rFonts w:ascii="Calibri" w:eastAsia="Times New Roman" w:hAnsi="Calibri" w:cs="Calibri"/>
          <w:b/>
          <w:color w:val="000000"/>
        </w:rPr>
        <w:t>As well as the clinical symptoms</w:t>
      </w:r>
    </w:p>
    <w:p w:rsidR="00B8013F" w:rsidRDefault="00B8013F" w:rsidP="00D607EA">
      <w:pPr>
        <w:rPr>
          <w:rFonts w:ascii="Calibri" w:eastAsia="Times New Roman" w:hAnsi="Calibri" w:cs="Calibri"/>
          <w:color w:val="000000"/>
        </w:rPr>
      </w:pPr>
    </w:p>
    <w:p w:rsidR="00437204" w:rsidRDefault="00437204" w:rsidP="00D607EA">
      <w:pPr>
        <w:rPr>
          <w:rFonts w:ascii="Calibri" w:eastAsia="Times New Roman" w:hAnsi="Calibri" w:cs="Calibri"/>
          <w:color w:val="000000"/>
        </w:rPr>
      </w:pPr>
    </w:p>
    <w:p w:rsidR="00437204" w:rsidRPr="00437204" w:rsidRDefault="00B8013F" w:rsidP="00437204">
      <w:pPr>
        <w:jc w:val="center"/>
        <w:rPr>
          <w:rFonts w:ascii="Calibri" w:eastAsia="Times New Roman" w:hAnsi="Calibri" w:cs="Calibri"/>
          <w:color w:val="FF0000"/>
          <w:sz w:val="28"/>
          <w:szCs w:val="28"/>
        </w:rPr>
      </w:pPr>
      <w:r w:rsidRPr="00437204">
        <w:rPr>
          <w:rFonts w:ascii="Calibri" w:eastAsia="Times New Roman" w:hAnsi="Calibri" w:cs="Calibri"/>
          <w:color w:val="FF0000"/>
          <w:sz w:val="28"/>
          <w:szCs w:val="28"/>
        </w:rPr>
        <w:t xml:space="preserve">Patients with abdominal symptoms should go straight to CT. </w:t>
      </w:r>
      <w:r w:rsidR="00C83A95" w:rsidRPr="00437204">
        <w:rPr>
          <w:rFonts w:ascii="Calibri" w:eastAsia="Times New Roman" w:hAnsi="Calibri" w:cs="Calibri"/>
          <w:color w:val="FF0000"/>
          <w:sz w:val="28"/>
          <w:szCs w:val="28"/>
        </w:rPr>
        <w:t xml:space="preserve">Absence of </w:t>
      </w:r>
      <w:r w:rsidRPr="00437204">
        <w:rPr>
          <w:rFonts w:ascii="Calibri" w:eastAsia="Times New Roman" w:hAnsi="Calibri" w:cs="Calibri"/>
          <w:color w:val="FF0000"/>
          <w:sz w:val="28"/>
          <w:szCs w:val="28"/>
        </w:rPr>
        <w:t>abdominal symptoms but fulfilling the criteria above should</w:t>
      </w:r>
      <w:r w:rsidR="00437204">
        <w:rPr>
          <w:rFonts w:ascii="Calibri" w:eastAsia="Times New Roman" w:hAnsi="Calibri" w:cs="Calibri"/>
          <w:color w:val="FF0000"/>
          <w:sz w:val="28"/>
          <w:szCs w:val="28"/>
        </w:rPr>
        <w:t xml:space="preserve"> have ultrasound WITHIN 48HOURS</w:t>
      </w:r>
    </w:p>
    <w:p w:rsidR="00D607EA" w:rsidRDefault="00C83A95" w:rsidP="00437204">
      <w:pPr>
        <w:pStyle w:val="Default"/>
        <w:jc w:val="center"/>
        <w:rPr>
          <w:color w:val="auto"/>
          <w:sz w:val="40"/>
          <w:szCs w:val="40"/>
        </w:rPr>
      </w:pPr>
      <w:r w:rsidRPr="00C83A95">
        <w:rPr>
          <w:color w:val="auto"/>
          <w:sz w:val="40"/>
          <w:szCs w:val="40"/>
        </w:rPr>
        <w:t>Ultrasound Scanning Protocol</w:t>
      </w:r>
      <w:r>
        <w:rPr>
          <w:color w:val="auto"/>
          <w:sz w:val="40"/>
          <w:szCs w:val="40"/>
        </w:rPr>
        <w:t>:</w:t>
      </w:r>
    </w:p>
    <w:p w:rsidR="00C83A95" w:rsidRDefault="00C83A95" w:rsidP="00D607EA">
      <w:pPr>
        <w:pStyle w:val="Default"/>
        <w:rPr>
          <w:color w:val="auto"/>
          <w:sz w:val="40"/>
          <w:szCs w:val="40"/>
        </w:rPr>
      </w:pPr>
    </w:p>
    <w:p w:rsidR="00C83A95" w:rsidRDefault="00C83A95" w:rsidP="002C1395">
      <w:pPr>
        <w:pStyle w:val="Default"/>
        <w:numPr>
          <w:ilvl w:val="0"/>
          <w:numId w:val="7"/>
        </w:numPr>
        <w:rPr>
          <w:color w:val="auto"/>
          <w:sz w:val="28"/>
          <w:szCs w:val="28"/>
        </w:rPr>
      </w:pPr>
      <w:r>
        <w:rPr>
          <w:color w:val="auto"/>
          <w:sz w:val="28"/>
          <w:szCs w:val="28"/>
        </w:rPr>
        <w:t xml:space="preserve">Machine </w:t>
      </w:r>
      <w:r w:rsidR="002C1395">
        <w:rPr>
          <w:color w:val="auto"/>
          <w:sz w:val="28"/>
          <w:szCs w:val="28"/>
        </w:rPr>
        <w:t>settings</w:t>
      </w:r>
      <w:r>
        <w:rPr>
          <w:color w:val="auto"/>
          <w:sz w:val="28"/>
          <w:szCs w:val="28"/>
        </w:rPr>
        <w:t xml:space="preserve"> and probe </w:t>
      </w:r>
      <w:r w:rsidR="002C1395">
        <w:rPr>
          <w:color w:val="auto"/>
          <w:sz w:val="28"/>
          <w:szCs w:val="28"/>
        </w:rPr>
        <w:t xml:space="preserve">selection </w:t>
      </w:r>
      <w:r>
        <w:rPr>
          <w:color w:val="auto"/>
          <w:sz w:val="28"/>
          <w:szCs w:val="28"/>
        </w:rPr>
        <w:t xml:space="preserve">as appropriate for an abdominal scan </w:t>
      </w:r>
      <w:r w:rsidR="002C1395">
        <w:rPr>
          <w:color w:val="auto"/>
          <w:sz w:val="28"/>
          <w:szCs w:val="28"/>
        </w:rPr>
        <w:t xml:space="preserve">for </w:t>
      </w:r>
      <w:r>
        <w:rPr>
          <w:color w:val="auto"/>
          <w:sz w:val="28"/>
          <w:szCs w:val="28"/>
        </w:rPr>
        <w:t>the patient’s habitus</w:t>
      </w:r>
    </w:p>
    <w:p w:rsidR="002C1395" w:rsidRDefault="002C1395" w:rsidP="002C1395">
      <w:pPr>
        <w:pStyle w:val="Default"/>
        <w:numPr>
          <w:ilvl w:val="0"/>
          <w:numId w:val="7"/>
        </w:numPr>
        <w:rPr>
          <w:color w:val="auto"/>
          <w:sz w:val="28"/>
          <w:szCs w:val="28"/>
        </w:rPr>
      </w:pPr>
      <w:r>
        <w:rPr>
          <w:color w:val="auto"/>
          <w:sz w:val="28"/>
          <w:szCs w:val="28"/>
        </w:rPr>
        <w:t>Focused scan limited to the abdominal vessels</w:t>
      </w:r>
    </w:p>
    <w:p w:rsidR="002C1395" w:rsidRPr="002C1395" w:rsidRDefault="002C1395" w:rsidP="002C1395">
      <w:pPr>
        <w:pStyle w:val="Default"/>
        <w:numPr>
          <w:ilvl w:val="0"/>
          <w:numId w:val="7"/>
        </w:numPr>
        <w:rPr>
          <w:color w:val="auto"/>
          <w:sz w:val="28"/>
          <w:szCs w:val="28"/>
        </w:rPr>
      </w:pPr>
      <w:r>
        <w:rPr>
          <w:color w:val="auto"/>
          <w:sz w:val="28"/>
          <w:szCs w:val="28"/>
        </w:rPr>
        <w:t>Vessels to be assessed</w:t>
      </w:r>
    </w:p>
    <w:p w:rsidR="002C1395" w:rsidRDefault="002C1395" w:rsidP="002C1395">
      <w:pPr>
        <w:pStyle w:val="Default"/>
        <w:numPr>
          <w:ilvl w:val="1"/>
          <w:numId w:val="7"/>
        </w:numPr>
        <w:rPr>
          <w:color w:val="auto"/>
          <w:sz w:val="28"/>
          <w:szCs w:val="28"/>
        </w:rPr>
      </w:pPr>
      <w:r>
        <w:rPr>
          <w:color w:val="auto"/>
          <w:sz w:val="28"/>
          <w:szCs w:val="28"/>
        </w:rPr>
        <w:t>Splenic vein</w:t>
      </w:r>
    </w:p>
    <w:p w:rsidR="002C1395" w:rsidRDefault="002C1395" w:rsidP="002C1395">
      <w:pPr>
        <w:pStyle w:val="Default"/>
        <w:numPr>
          <w:ilvl w:val="1"/>
          <w:numId w:val="7"/>
        </w:numPr>
        <w:rPr>
          <w:color w:val="auto"/>
          <w:sz w:val="28"/>
          <w:szCs w:val="28"/>
        </w:rPr>
      </w:pPr>
      <w:r>
        <w:rPr>
          <w:color w:val="auto"/>
          <w:sz w:val="28"/>
          <w:szCs w:val="28"/>
        </w:rPr>
        <w:t>Portal vein</w:t>
      </w:r>
    </w:p>
    <w:p w:rsidR="002C1395" w:rsidRDefault="002C1395" w:rsidP="002C1395">
      <w:pPr>
        <w:pStyle w:val="Default"/>
        <w:numPr>
          <w:ilvl w:val="1"/>
          <w:numId w:val="7"/>
        </w:numPr>
        <w:rPr>
          <w:color w:val="auto"/>
          <w:sz w:val="28"/>
          <w:szCs w:val="28"/>
        </w:rPr>
      </w:pPr>
      <w:r>
        <w:rPr>
          <w:color w:val="auto"/>
          <w:sz w:val="28"/>
          <w:szCs w:val="28"/>
        </w:rPr>
        <w:t>Superior mesenteric vein</w:t>
      </w:r>
      <w:r w:rsidR="00B20978">
        <w:rPr>
          <w:color w:val="auto"/>
          <w:sz w:val="28"/>
          <w:szCs w:val="28"/>
        </w:rPr>
        <w:t xml:space="preserve"> (where possible)</w:t>
      </w:r>
    </w:p>
    <w:p w:rsidR="002C1395" w:rsidRDefault="002C1395" w:rsidP="002C1395">
      <w:pPr>
        <w:pStyle w:val="Default"/>
        <w:numPr>
          <w:ilvl w:val="1"/>
          <w:numId w:val="7"/>
        </w:numPr>
        <w:rPr>
          <w:color w:val="auto"/>
          <w:sz w:val="28"/>
          <w:szCs w:val="28"/>
        </w:rPr>
      </w:pPr>
      <w:r>
        <w:rPr>
          <w:color w:val="auto"/>
          <w:sz w:val="28"/>
          <w:szCs w:val="28"/>
        </w:rPr>
        <w:t>IVC</w:t>
      </w:r>
    </w:p>
    <w:p w:rsidR="002C1395" w:rsidRDefault="002C1395" w:rsidP="002C1395">
      <w:pPr>
        <w:pStyle w:val="Default"/>
        <w:numPr>
          <w:ilvl w:val="0"/>
          <w:numId w:val="7"/>
        </w:numPr>
        <w:rPr>
          <w:color w:val="auto"/>
          <w:sz w:val="28"/>
          <w:szCs w:val="28"/>
        </w:rPr>
      </w:pPr>
      <w:r>
        <w:rPr>
          <w:color w:val="auto"/>
          <w:sz w:val="28"/>
          <w:szCs w:val="28"/>
        </w:rPr>
        <w:t>Ultrasound findings diagnostic for thrombus are the same as for limb vein thrombus (DVT)</w:t>
      </w:r>
    </w:p>
    <w:p w:rsidR="002C1395" w:rsidRDefault="002C1395" w:rsidP="002C1395">
      <w:pPr>
        <w:pStyle w:val="Default"/>
        <w:numPr>
          <w:ilvl w:val="1"/>
          <w:numId w:val="7"/>
        </w:numPr>
        <w:rPr>
          <w:color w:val="auto"/>
          <w:sz w:val="28"/>
          <w:szCs w:val="28"/>
        </w:rPr>
      </w:pPr>
      <w:r>
        <w:rPr>
          <w:color w:val="auto"/>
          <w:sz w:val="28"/>
          <w:szCs w:val="28"/>
        </w:rPr>
        <w:t>Absence / partial absence of flow as identified by colour Doppler</w:t>
      </w:r>
    </w:p>
    <w:p w:rsidR="002C1395" w:rsidRDefault="002C1395" w:rsidP="002C1395">
      <w:pPr>
        <w:pStyle w:val="Default"/>
        <w:numPr>
          <w:ilvl w:val="1"/>
          <w:numId w:val="7"/>
        </w:numPr>
        <w:rPr>
          <w:color w:val="auto"/>
          <w:sz w:val="28"/>
          <w:szCs w:val="28"/>
        </w:rPr>
      </w:pPr>
      <w:r>
        <w:rPr>
          <w:color w:val="auto"/>
          <w:sz w:val="28"/>
          <w:szCs w:val="28"/>
        </w:rPr>
        <w:t>Echogenic intra-luminal contents</w:t>
      </w:r>
    </w:p>
    <w:p w:rsidR="002C1395" w:rsidRDefault="002C1395" w:rsidP="002C1395">
      <w:pPr>
        <w:pStyle w:val="Default"/>
        <w:numPr>
          <w:ilvl w:val="1"/>
          <w:numId w:val="7"/>
        </w:numPr>
        <w:rPr>
          <w:color w:val="auto"/>
          <w:sz w:val="28"/>
          <w:szCs w:val="28"/>
        </w:rPr>
      </w:pPr>
      <w:r>
        <w:rPr>
          <w:color w:val="auto"/>
          <w:sz w:val="28"/>
          <w:szCs w:val="28"/>
        </w:rPr>
        <w:t>Possible dilatation of the vessel if occluded by acute thrombus</w:t>
      </w:r>
    </w:p>
    <w:p w:rsidR="002C1395" w:rsidRDefault="002C1395" w:rsidP="002C1395">
      <w:pPr>
        <w:pStyle w:val="Default"/>
        <w:numPr>
          <w:ilvl w:val="1"/>
          <w:numId w:val="7"/>
        </w:numPr>
        <w:rPr>
          <w:color w:val="auto"/>
          <w:sz w:val="28"/>
          <w:szCs w:val="28"/>
        </w:rPr>
      </w:pPr>
      <w:r>
        <w:rPr>
          <w:color w:val="auto"/>
          <w:sz w:val="28"/>
          <w:szCs w:val="28"/>
        </w:rPr>
        <w:t>Abnormal flow patterns in adjoining vessels as identified by colour flow and/or spectral Doppler</w:t>
      </w:r>
    </w:p>
    <w:p w:rsidR="00B20978" w:rsidRPr="002C1395" w:rsidRDefault="00B20978" w:rsidP="002C1395">
      <w:pPr>
        <w:pStyle w:val="Default"/>
        <w:numPr>
          <w:ilvl w:val="1"/>
          <w:numId w:val="7"/>
        </w:numPr>
        <w:rPr>
          <w:color w:val="auto"/>
          <w:sz w:val="28"/>
          <w:szCs w:val="28"/>
        </w:rPr>
      </w:pPr>
      <w:r>
        <w:rPr>
          <w:color w:val="auto"/>
          <w:sz w:val="28"/>
          <w:szCs w:val="28"/>
        </w:rPr>
        <w:t>Compression techniques will not be appropriate for these vessels</w:t>
      </w:r>
    </w:p>
    <w:p w:rsidR="00437204" w:rsidRDefault="00437204" w:rsidP="00437204">
      <w:pPr>
        <w:pStyle w:val="Default"/>
        <w:ind w:left="720"/>
        <w:rPr>
          <w:color w:val="auto"/>
          <w:sz w:val="28"/>
          <w:szCs w:val="28"/>
        </w:rPr>
      </w:pPr>
    </w:p>
    <w:p w:rsidR="00437204" w:rsidRDefault="00437204" w:rsidP="00437204">
      <w:pPr>
        <w:pStyle w:val="Default"/>
        <w:ind w:left="720"/>
        <w:rPr>
          <w:color w:val="auto"/>
          <w:sz w:val="28"/>
          <w:szCs w:val="28"/>
        </w:rPr>
      </w:pPr>
    </w:p>
    <w:p w:rsidR="00437204" w:rsidRDefault="00437204" w:rsidP="00437204">
      <w:pPr>
        <w:pStyle w:val="Default"/>
        <w:ind w:left="720"/>
        <w:rPr>
          <w:color w:val="auto"/>
          <w:sz w:val="28"/>
          <w:szCs w:val="28"/>
        </w:rPr>
      </w:pPr>
    </w:p>
    <w:p w:rsidR="00437204" w:rsidRDefault="00437204" w:rsidP="00437204">
      <w:pPr>
        <w:pStyle w:val="Default"/>
        <w:ind w:left="360"/>
        <w:rPr>
          <w:color w:val="auto"/>
          <w:sz w:val="28"/>
          <w:szCs w:val="28"/>
        </w:rPr>
      </w:pPr>
    </w:p>
    <w:p w:rsidR="002C1395" w:rsidRDefault="00B20978" w:rsidP="002C1395">
      <w:pPr>
        <w:pStyle w:val="Default"/>
        <w:numPr>
          <w:ilvl w:val="0"/>
          <w:numId w:val="7"/>
        </w:numPr>
        <w:rPr>
          <w:color w:val="auto"/>
          <w:sz w:val="28"/>
          <w:szCs w:val="28"/>
        </w:rPr>
      </w:pPr>
      <w:r>
        <w:rPr>
          <w:color w:val="auto"/>
          <w:sz w:val="28"/>
          <w:szCs w:val="28"/>
        </w:rPr>
        <w:lastRenderedPageBreak/>
        <w:t>Reporting</w:t>
      </w:r>
    </w:p>
    <w:p w:rsidR="00B20978" w:rsidRDefault="00B20978" w:rsidP="00B20978">
      <w:pPr>
        <w:pStyle w:val="Default"/>
        <w:numPr>
          <w:ilvl w:val="1"/>
          <w:numId w:val="7"/>
        </w:numPr>
        <w:rPr>
          <w:color w:val="auto"/>
          <w:sz w:val="28"/>
          <w:szCs w:val="28"/>
        </w:rPr>
      </w:pPr>
      <w:r>
        <w:rPr>
          <w:color w:val="auto"/>
          <w:sz w:val="28"/>
          <w:szCs w:val="28"/>
        </w:rPr>
        <w:t>If thrombus is identified state in which vessel(s)</w:t>
      </w:r>
    </w:p>
    <w:p w:rsidR="00B20978" w:rsidRDefault="00B20978" w:rsidP="00B20978">
      <w:pPr>
        <w:pStyle w:val="Default"/>
        <w:numPr>
          <w:ilvl w:val="1"/>
          <w:numId w:val="7"/>
        </w:numPr>
        <w:rPr>
          <w:color w:val="auto"/>
          <w:sz w:val="28"/>
          <w:szCs w:val="28"/>
        </w:rPr>
      </w:pPr>
      <w:r>
        <w:rPr>
          <w:color w:val="auto"/>
          <w:sz w:val="28"/>
          <w:szCs w:val="28"/>
        </w:rPr>
        <w:t xml:space="preserve">If the scan is negative, report as “No thrombus identified in the </w:t>
      </w:r>
      <w:r w:rsidR="00913272">
        <w:rPr>
          <w:color w:val="auto"/>
          <w:sz w:val="28"/>
          <w:szCs w:val="28"/>
        </w:rPr>
        <w:t>…</w:t>
      </w:r>
      <w:r>
        <w:rPr>
          <w:color w:val="auto"/>
          <w:sz w:val="28"/>
          <w:szCs w:val="28"/>
        </w:rPr>
        <w:t>*state vessels imaged*</w:t>
      </w:r>
    </w:p>
    <w:p w:rsidR="00B20978" w:rsidRDefault="00B20978" w:rsidP="00B20978">
      <w:pPr>
        <w:pStyle w:val="Default"/>
        <w:numPr>
          <w:ilvl w:val="1"/>
          <w:numId w:val="7"/>
        </w:numPr>
        <w:rPr>
          <w:color w:val="auto"/>
          <w:sz w:val="28"/>
          <w:szCs w:val="28"/>
        </w:rPr>
      </w:pPr>
      <w:r>
        <w:rPr>
          <w:color w:val="auto"/>
          <w:sz w:val="28"/>
          <w:szCs w:val="28"/>
        </w:rPr>
        <w:t>If some of the required vessels could not be imaged or if the scan is suboptimal, state this on the report</w:t>
      </w:r>
    </w:p>
    <w:p w:rsidR="002C1395" w:rsidRPr="002C1395" w:rsidRDefault="002C1395" w:rsidP="00437204">
      <w:pPr>
        <w:pStyle w:val="Default"/>
        <w:ind w:left="720"/>
        <w:rPr>
          <w:color w:val="auto"/>
          <w:sz w:val="28"/>
          <w:szCs w:val="28"/>
        </w:rPr>
      </w:pPr>
    </w:p>
    <w:p w:rsidR="002C1395" w:rsidRDefault="002C1395" w:rsidP="002C1395"/>
    <w:p w:rsidR="00437204" w:rsidRDefault="00437204" w:rsidP="002C1395">
      <w:bookmarkStart w:id="0" w:name="_GoBack"/>
      <w:bookmarkEnd w:id="0"/>
    </w:p>
    <w:p w:rsidR="00913272" w:rsidRPr="002C1395" w:rsidRDefault="00437204" w:rsidP="00437204">
      <w:pPr>
        <w:jc w:val="center"/>
      </w:pPr>
      <w:r>
        <w:rPr>
          <w:noProof/>
          <w:lang w:eastAsia="en-GB"/>
        </w:rPr>
        <w:drawing>
          <wp:inline distT="0" distB="0" distL="0" distR="0" wp14:anchorId="6E83F36D" wp14:editId="32AC7533">
            <wp:extent cx="5753100" cy="6579963"/>
            <wp:effectExtent l="0" t="0" r="0" b="0"/>
            <wp:docPr id="3" name="image" descr="http://vignette4.wikia.nocookie.net/ranzcrpart1/images/e/e7/Portal_vein.gif/revision/latest?cb=2015051008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vignette4.wikia.nocookie.net/ranzcrpart1/images/e/e7/Portal_vein.gif/revision/latest?cb=20150510085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6579963"/>
                    </a:xfrm>
                    <a:prstGeom prst="rect">
                      <a:avLst/>
                    </a:prstGeom>
                    <a:noFill/>
                    <a:ln>
                      <a:noFill/>
                    </a:ln>
                  </pic:spPr>
                </pic:pic>
              </a:graphicData>
            </a:graphic>
          </wp:inline>
        </w:drawing>
      </w:r>
    </w:p>
    <w:p w:rsidR="00C06ACC" w:rsidRDefault="00C06ACC" w:rsidP="00C06ACC">
      <w:pPr>
        <w:pStyle w:val="Default"/>
        <w:pageBreakBefore/>
        <w:rPr>
          <w:color w:val="auto"/>
          <w:sz w:val="20"/>
          <w:szCs w:val="20"/>
        </w:rPr>
      </w:pPr>
    </w:p>
    <w:p w:rsidR="00C06ACC" w:rsidRDefault="00C06ACC" w:rsidP="00C06ACC">
      <w:pPr>
        <w:pStyle w:val="Default"/>
        <w:pageBreakBefore/>
        <w:rPr>
          <w:color w:val="auto"/>
          <w:sz w:val="20"/>
          <w:szCs w:val="20"/>
        </w:rPr>
      </w:pPr>
    </w:p>
    <w:p w:rsidR="00C06ACC" w:rsidRDefault="00C06ACC" w:rsidP="00C06ACC">
      <w:pPr>
        <w:pStyle w:val="Default"/>
        <w:pageBreakBefore/>
        <w:rPr>
          <w:color w:val="auto"/>
          <w:sz w:val="20"/>
          <w:szCs w:val="20"/>
        </w:rPr>
      </w:pPr>
    </w:p>
    <w:p w:rsidR="00184928" w:rsidRPr="00184928" w:rsidRDefault="00184928" w:rsidP="00184928">
      <w:pPr>
        <w:rPr>
          <w:sz w:val="28"/>
          <w:szCs w:val="28"/>
        </w:rPr>
      </w:pPr>
    </w:p>
    <w:sectPr w:rsidR="00184928" w:rsidRPr="001849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A9C4B7"/>
    <w:multiLevelType w:val="hybridMultilevel"/>
    <w:tmpl w:val="48928E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98FDB8"/>
    <w:multiLevelType w:val="hybridMultilevel"/>
    <w:tmpl w:val="041F09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5D0AB74"/>
    <w:multiLevelType w:val="hybridMultilevel"/>
    <w:tmpl w:val="4A5EF0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71449E5"/>
    <w:multiLevelType w:val="hybridMultilevel"/>
    <w:tmpl w:val="31B443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8E33DF0"/>
    <w:multiLevelType w:val="hybridMultilevel"/>
    <w:tmpl w:val="C3063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3832EC"/>
    <w:multiLevelType w:val="hybridMultilevel"/>
    <w:tmpl w:val="3145D6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ECC0368"/>
    <w:multiLevelType w:val="hybridMultilevel"/>
    <w:tmpl w:val="C7AB43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5"/>
  </w:num>
  <w:num w:numId="3">
    <w:abstractNumId w:val="2"/>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DA8"/>
    <w:rsid w:val="00184928"/>
    <w:rsid w:val="002C1395"/>
    <w:rsid w:val="00437204"/>
    <w:rsid w:val="00677DE9"/>
    <w:rsid w:val="00894DA8"/>
    <w:rsid w:val="00913272"/>
    <w:rsid w:val="00B20978"/>
    <w:rsid w:val="00B8013F"/>
    <w:rsid w:val="00C06ACC"/>
    <w:rsid w:val="00C83A95"/>
    <w:rsid w:val="00D04C6D"/>
    <w:rsid w:val="00D60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6AC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06ACC"/>
    <w:rPr>
      <w:color w:val="0000FF" w:themeColor="hyperlink"/>
      <w:u w:val="single"/>
    </w:rPr>
  </w:style>
  <w:style w:type="paragraph" w:styleId="BalloonText">
    <w:name w:val="Balloon Text"/>
    <w:basedOn w:val="Normal"/>
    <w:link w:val="BalloonTextChar"/>
    <w:uiPriority w:val="99"/>
    <w:semiHidden/>
    <w:unhideWhenUsed/>
    <w:rsid w:val="00D60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7EA"/>
    <w:rPr>
      <w:rFonts w:ascii="Tahoma" w:hAnsi="Tahoma" w:cs="Tahoma"/>
      <w:sz w:val="16"/>
      <w:szCs w:val="16"/>
    </w:rPr>
  </w:style>
  <w:style w:type="paragraph" w:styleId="ListParagraph">
    <w:name w:val="List Paragraph"/>
    <w:basedOn w:val="Normal"/>
    <w:uiPriority w:val="34"/>
    <w:qFormat/>
    <w:rsid w:val="002C13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6AC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06ACC"/>
    <w:rPr>
      <w:color w:val="0000FF" w:themeColor="hyperlink"/>
      <w:u w:val="single"/>
    </w:rPr>
  </w:style>
  <w:style w:type="paragraph" w:styleId="BalloonText">
    <w:name w:val="Balloon Text"/>
    <w:basedOn w:val="Normal"/>
    <w:link w:val="BalloonTextChar"/>
    <w:uiPriority w:val="99"/>
    <w:semiHidden/>
    <w:unhideWhenUsed/>
    <w:rsid w:val="00D60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7EA"/>
    <w:rPr>
      <w:rFonts w:ascii="Tahoma" w:hAnsi="Tahoma" w:cs="Tahoma"/>
      <w:sz w:val="16"/>
      <w:szCs w:val="16"/>
    </w:rPr>
  </w:style>
  <w:style w:type="paragraph" w:styleId="ListParagraph">
    <w:name w:val="List Paragraph"/>
    <w:basedOn w:val="Normal"/>
    <w:uiPriority w:val="34"/>
    <w:qFormat/>
    <w:rsid w:val="002C1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75466">
      <w:bodyDiv w:val="1"/>
      <w:marLeft w:val="0"/>
      <w:marRight w:val="0"/>
      <w:marTop w:val="0"/>
      <w:marBottom w:val="0"/>
      <w:divBdr>
        <w:top w:val="none" w:sz="0" w:space="0" w:color="auto"/>
        <w:left w:val="none" w:sz="0" w:space="0" w:color="auto"/>
        <w:bottom w:val="none" w:sz="0" w:space="0" w:color="auto"/>
        <w:right w:val="none" w:sz="0" w:space="0" w:color="auto"/>
      </w:divBdr>
    </w:div>
    <w:div w:id="1384451669">
      <w:bodyDiv w:val="1"/>
      <w:marLeft w:val="0"/>
      <w:marRight w:val="0"/>
      <w:marTop w:val="0"/>
      <w:marBottom w:val="0"/>
      <w:divBdr>
        <w:top w:val="none" w:sz="0" w:space="0" w:color="auto"/>
        <w:left w:val="none" w:sz="0" w:space="0" w:color="auto"/>
        <w:bottom w:val="none" w:sz="0" w:space="0" w:color="auto"/>
        <w:right w:val="none" w:sz="0" w:space="0" w:color="auto"/>
      </w:divBdr>
    </w:div>
    <w:div w:id="141073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Chesterfield Royal Hospital</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Beardshall</dc:creator>
  <cp:lastModifiedBy>Matthew Beardshall</cp:lastModifiedBy>
  <cp:revision>1</cp:revision>
  <dcterms:created xsi:type="dcterms:W3CDTF">2021-04-23T07:15:00Z</dcterms:created>
  <dcterms:modified xsi:type="dcterms:W3CDTF">2021-04-23T09:07:00Z</dcterms:modified>
</cp:coreProperties>
</file>