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56" w:rsidRPr="00A65156" w:rsidRDefault="00A65156" w:rsidP="00A65156">
      <w:pPr>
        <w:numPr>
          <w:ilvl w:val="0"/>
          <w:numId w:val="1"/>
        </w:numPr>
        <w:shd w:val="clear" w:color="auto" w:fill="FFFFFF"/>
        <w:spacing w:after="0" w:line="270" w:lineRule="atLeast"/>
        <w:outlineLvl w:val="3"/>
        <w:rPr>
          <w:rFonts w:ascii="Georgia" w:eastAsia="Times New Roman" w:hAnsi="Georgia" w:cs="Times New Roman"/>
          <w:color w:val="333333"/>
          <w:sz w:val="21"/>
          <w:szCs w:val="21"/>
          <w:lang w:val="en" w:eastAsia="en-GB"/>
        </w:rPr>
      </w:pPr>
      <w:r w:rsidRPr="00A65156">
        <w:rPr>
          <w:rFonts w:ascii="Georgia" w:eastAsia="Times New Roman" w:hAnsi="Georgia" w:cs="Times New Roman"/>
          <w:color w:val="333333"/>
          <w:sz w:val="21"/>
          <w:szCs w:val="21"/>
          <w:lang w:val="en" w:eastAsia="en-GB"/>
        </w:rPr>
        <w:t xml:space="preserve">The Investigation and Management of Iliac Artery </w:t>
      </w:r>
      <w:proofErr w:type="spellStart"/>
      <w:r w:rsidRPr="00A65156">
        <w:rPr>
          <w:rFonts w:ascii="Georgia" w:eastAsia="Times New Roman" w:hAnsi="Georgia" w:cs="Times New Roman"/>
          <w:color w:val="333333"/>
          <w:sz w:val="21"/>
          <w:szCs w:val="21"/>
          <w:lang w:val="en" w:eastAsia="en-GB"/>
        </w:rPr>
        <w:t>Endofibrosis</w:t>
      </w:r>
      <w:proofErr w:type="spellEnd"/>
      <w:r w:rsidRPr="00A65156">
        <w:rPr>
          <w:rFonts w:ascii="Georgia" w:eastAsia="Times New Roman" w:hAnsi="Georgia" w:cs="Times New Roman"/>
          <w:color w:val="333333"/>
          <w:sz w:val="21"/>
          <w:szCs w:val="21"/>
          <w:lang w:val="en" w:eastAsia="en-GB"/>
        </w:rPr>
        <w:t>: Lessons Learned from a Case Series</w:t>
      </w:r>
    </w:p>
    <w:p w:rsidR="00A65156" w:rsidRPr="00A65156" w:rsidRDefault="00A65156" w:rsidP="00A65156">
      <w:pPr>
        <w:shd w:val="clear" w:color="auto" w:fill="FFFFFF"/>
        <w:spacing w:beforeAutospacing="1" w:after="0" w:afterAutospacing="1" w:line="240" w:lineRule="auto"/>
        <w:ind w:left="720"/>
        <w:rPr>
          <w:rFonts w:ascii="Helvetica" w:eastAsia="Times New Roman" w:hAnsi="Helvetica" w:cs="Times New Roman"/>
          <w:color w:val="333333"/>
          <w:sz w:val="18"/>
          <w:szCs w:val="18"/>
          <w:lang w:val="en" w:eastAsia="en-GB"/>
        </w:rPr>
      </w:pPr>
      <w:proofErr w:type="spellStart"/>
      <w:r w:rsidRPr="00A65156">
        <w:rPr>
          <w:rFonts w:ascii="Helvetica" w:eastAsia="Times New Roman" w:hAnsi="Helvetica" w:cs="Times New Roman"/>
          <w:color w:val="333333"/>
          <w:sz w:val="18"/>
          <w:szCs w:val="18"/>
          <w:lang w:val="en" w:eastAsia="en-GB"/>
        </w:rPr>
        <w:t>Peake</w:t>
      </w:r>
      <w:proofErr w:type="spellEnd"/>
      <w:r w:rsidRPr="00A65156">
        <w:rPr>
          <w:rFonts w:ascii="Helvetica" w:eastAsia="Times New Roman" w:hAnsi="Helvetica" w:cs="Times New Roman"/>
          <w:color w:val="333333"/>
          <w:sz w:val="18"/>
          <w:szCs w:val="18"/>
          <w:lang w:val="en" w:eastAsia="en-GB"/>
        </w:rPr>
        <w:t>, Lewis K. et al.</w:t>
      </w:r>
    </w:p>
    <w:p w:rsidR="00A65156" w:rsidRPr="00A65156" w:rsidRDefault="00A65156" w:rsidP="00A65156">
      <w:pPr>
        <w:shd w:val="clear" w:color="auto" w:fill="FFFFFF"/>
        <w:spacing w:beforeAutospacing="1" w:after="0" w:afterAutospacing="1" w:line="240" w:lineRule="auto"/>
        <w:ind w:left="720"/>
        <w:rPr>
          <w:rFonts w:ascii="Helvetica" w:eastAsia="Times New Roman" w:hAnsi="Helvetica" w:cs="Times New Roman"/>
          <w:color w:val="333333"/>
          <w:sz w:val="18"/>
          <w:szCs w:val="18"/>
          <w:lang w:val="en" w:eastAsia="en-GB"/>
        </w:rPr>
      </w:pPr>
      <w:r w:rsidRPr="00A65156">
        <w:rPr>
          <w:rFonts w:ascii="Helvetica" w:eastAsia="Times New Roman" w:hAnsi="Helvetica" w:cs="Times New Roman"/>
          <w:color w:val="333333"/>
          <w:sz w:val="18"/>
          <w:szCs w:val="18"/>
          <w:lang w:val="en" w:eastAsia="en-GB"/>
        </w:rPr>
        <w:t xml:space="preserve">European Journal of Vascular and Endovascular </w:t>
      </w:r>
      <w:proofErr w:type="gramStart"/>
      <w:r w:rsidRPr="00A65156">
        <w:rPr>
          <w:rFonts w:ascii="Helvetica" w:eastAsia="Times New Roman" w:hAnsi="Helvetica" w:cs="Times New Roman"/>
          <w:color w:val="333333"/>
          <w:sz w:val="18"/>
          <w:szCs w:val="18"/>
          <w:lang w:val="en" w:eastAsia="en-GB"/>
        </w:rPr>
        <w:t>Surgery ,</w:t>
      </w:r>
      <w:proofErr w:type="gramEnd"/>
      <w:r w:rsidRPr="00A65156">
        <w:rPr>
          <w:rFonts w:ascii="Helvetica" w:eastAsia="Times New Roman" w:hAnsi="Helvetica" w:cs="Times New Roman"/>
          <w:color w:val="333333"/>
          <w:sz w:val="18"/>
          <w:szCs w:val="18"/>
          <w:lang w:val="en" w:eastAsia="en-GB"/>
        </w:rPr>
        <w:t xml:space="preserve"> Volume 55 , Issue 4 , 577 - 583 </w:t>
      </w:r>
    </w:p>
    <w:p w:rsidR="002246AE" w:rsidRDefault="002246AE">
      <w:bookmarkStart w:id="0" w:name="_GoBack"/>
      <w:bookmarkEnd w:id="0"/>
    </w:p>
    <w:sectPr w:rsidR="00224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C1733"/>
    <w:multiLevelType w:val="multilevel"/>
    <w:tmpl w:val="4B7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56"/>
    <w:rsid w:val="002246AE"/>
    <w:rsid w:val="006203B0"/>
    <w:rsid w:val="007E2886"/>
    <w:rsid w:val="00A65156"/>
    <w:rsid w:val="00AD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65156"/>
    <w:pPr>
      <w:spacing w:after="0" w:line="270" w:lineRule="atLeast"/>
      <w:outlineLvl w:val="3"/>
    </w:pPr>
    <w:rPr>
      <w:rFonts w:ascii="Georgia" w:eastAsia="Times New Roman" w:hAnsi="Georgia" w:cs="Times New Roman"/>
      <w:color w:val="333333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65156"/>
    <w:rPr>
      <w:rFonts w:ascii="Georgia" w:eastAsia="Times New Roman" w:hAnsi="Georgia" w:cs="Times New Roman"/>
      <w:color w:val="333333"/>
      <w:sz w:val="21"/>
      <w:szCs w:val="21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65156"/>
    <w:pPr>
      <w:spacing w:after="0" w:line="270" w:lineRule="atLeast"/>
      <w:outlineLvl w:val="3"/>
    </w:pPr>
    <w:rPr>
      <w:rFonts w:ascii="Georgia" w:eastAsia="Times New Roman" w:hAnsi="Georgia" w:cs="Times New Roman"/>
      <w:color w:val="333333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65156"/>
    <w:rPr>
      <w:rFonts w:ascii="Georgia" w:eastAsia="Times New Roman" w:hAnsi="Georgia" w:cs="Times New Roman"/>
      <w:color w:val="333333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3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73404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5186">
                              <w:marLeft w:val="105"/>
                              <w:marRight w:val="10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5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16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3744">
                                                  <w:marLeft w:val="105"/>
                                                  <w:marRight w:val="10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47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49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744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9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05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273937">
                                                                          <w:marLeft w:val="105"/>
                                                                          <w:marRight w:val="105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7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663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9527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1262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Farrah</dc:creator>
  <cp:lastModifiedBy>John Farrah</cp:lastModifiedBy>
  <cp:revision>1</cp:revision>
  <dcterms:created xsi:type="dcterms:W3CDTF">2018-04-19T10:30:00Z</dcterms:created>
  <dcterms:modified xsi:type="dcterms:W3CDTF">2018-04-19T10:31:00Z</dcterms:modified>
</cp:coreProperties>
</file>