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EB" w:rsidRDefault="002418EB" w:rsidP="002418EB">
      <w:pPr>
        <w:spacing w:after="0"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>Chesterfield Royal Hospital NHS Foundation Trust</w:t>
      </w:r>
    </w:p>
    <w:p w:rsidR="002418EB" w:rsidRDefault="002418EB" w:rsidP="002418EB">
      <w:pPr>
        <w:spacing w:after="0" w:line="276" w:lineRule="auto"/>
        <w:jc w:val="center"/>
        <w:rPr>
          <w:b/>
        </w:rPr>
      </w:pPr>
      <w:r>
        <w:rPr>
          <w:b/>
        </w:rPr>
        <w:t>Integrated Care Division</w:t>
      </w:r>
    </w:p>
    <w:p w:rsidR="002418EB" w:rsidRDefault="002418EB" w:rsidP="002418EB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b/>
        </w:rPr>
        <w:t xml:space="preserve">ULTRASOUND </w:t>
      </w:r>
    </w:p>
    <w:p w:rsidR="002418EB" w:rsidRDefault="002418EB" w:rsidP="002418EB">
      <w:pPr>
        <w:pStyle w:val="Heading1"/>
        <w:spacing w:after="0" w:line="276" w:lineRule="auto"/>
      </w:pPr>
      <w:bookmarkStart w:id="1" w:name="_va1yl3ono1yu" w:colFirst="0" w:colLast="0"/>
      <w:bookmarkEnd w:id="1"/>
      <w:r>
        <w:t>GIANT CELL / TEMPORAL ARTERITIS</w:t>
      </w:r>
    </w:p>
    <w:p w:rsidR="002418EB" w:rsidRDefault="002418EB" w:rsidP="002418EB">
      <w:pPr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903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8055"/>
      </w:tblGrid>
      <w:tr w:rsidR="002418EB" w:rsidTr="00F747E6">
        <w:trPr>
          <w:trHeight w:val="525"/>
        </w:trPr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05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</w:rPr>
            </w:pPr>
            <w:r>
              <w:rPr>
                <w:b/>
              </w:rPr>
              <w:t>OBJECTIVE</w:t>
            </w:r>
          </w:p>
        </w:tc>
      </w:tr>
      <w:tr w:rsidR="002418EB" w:rsidTr="00F747E6">
        <w:trPr>
          <w:trHeight w:val="785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spacing w:after="0" w:line="276" w:lineRule="auto"/>
              <w:jc w:val="center"/>
            </w:pPr>
            <w:r>
              <w:t xml:space="preserve"> 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</w:pPr>
            <w:r>
              <w:t>The purpose of this document is to describe the standard operating procedures for ultrasound scanning of suspected Giant cell / Temporal arteritis.</w:t>
            </w:r>
          </w:p>
        </w:tc>
      </w:tr>
      <w:tr w:rsidR="002418EB" w:rsidTr="00F747E6">
        <w:trPr>
          <w:trHeight w:val="545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</w:rPr>
            </w:pPr>
            <w:r>
              <w:rPr>
                <w:b/>
              </w:rPr>
              <w:t>SCOPE</w:t>
            </w:r>
          </w:p>
        </w:tc>
      </w:tr>
      <w:tr w:rsidR="002418EB" w:rsidTr="00F747E6">
        <w:trPr>
          <w:trHeight w:val="785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spacing w:after="0" w:line="276" w:lineRule="auto"/>
              <w:jc w:val="center"/>
            </w:pPr>
            <w:r>
              <w:t xml:space="preserve"> 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41"/>
            </w:pPr>
            <w:r>
              <w:t>Giant cell arteritis (GCA) studies are performed by qualified vascular sonographers or trainee sonographers under appropriate level of supervision.</w:t>
            </w:r>
          </w:p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41"/>
            </w:pPr>
            <w:r>
              <w:t>A valid request is required for the examination.</w:t>
            </w:r>
          </w:p>
        </w:tc>
      </w:tr>
      <w:tr w:rsidR="002418EB" w:rsidTr="00F747E6">
        <w:trPr>
          <w:trHeight w:val="545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</w:rPr>
            </w:pPr>
            <w:r>
              <w:rPr>
                <w:b/>
              </w:rPr>
              <w:t>PROCESS</w:t>
            </w:r>
          </w:p>
        </w:tc>
      </w:tr>
      <w:tr w:rsidR="002418EB" w:rsidTr="00F747E6">
        <w:trPr>
          <w:trHeight w:val="2180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spacing w:after="0" w:line="276" w:lineRule="auto"/>
              <w:jc w:val="center"/>
            </w:pPr>
            <w:r>
              <w:t xml:space="preserve"> 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hd w:val="clear" w:color="auto" w:fill="FFFFFF"/>
              <w:spacing w:after="200" w:line="276" w:lineRule="auto"/>
              <w:ind w:left="141"/>
              <w:rPr>
                <w:i/>
              </w:rPr>
            </w:pPr>
            <w:r>
              <w:rPr>
                <w:i/>
                <w:color w:val="212121"/>
              </w:rPr>
              <w:t>Giant cell arteritis studies are urgent examinations and require scanning the same day or within 24 hours (whenever possible).</w:t>
            </w:r>
          </w:p>
          <w:p w:rsidR="002418EB" w:rsidRDefault="002418EB" w:rsidP="002418EB">
            <w:pPr>
              <w:widowControl w:val="0"/>
              <w:numPr>
                <w:ilvl w:val="0"/>
                <w:numId w:val="1"/>
              </w:numPr>
              <w:spacing w:after="0" w:line="276" w:lineRule="auto"/>
            </w:pPr>
            <w:r>
              <w:t xml:space="preserve">Select an appropriate probe and arterial </w:t>
            </w:r>
            <w:proofErr w:type="spellStart"/>
            <w:r>
              <w:t>preset</w:t>
            </w:r>
            <w:proofErr w:type="spellEnd"/>
            <w:r>
              <w:br/>
            </w:r>
            <w:proofErr w:type="gramStart"/>
            <w:r>
              <w:t>A</w:t>
            </w:r>
            <w:proofErr w:type="gramEnd"/>
            <w:r>
              <w:t xml:space="preserve"> high frequency </w:t>
            </w:r>
            <w:r w:rsidR="008802EE">
              <w:t xml:space="preserve">linear or </w:t>
            </w:r>
            <w:proofErr w:type="spellStart"/>
            <w:r w:rsidR="008802EE">
              <w:t>hockeystick</w:t>
            </w:r>
            <w:proofErr w:type="spellEnd"/>
            <w:r>
              <w:t xml:space="preserve"> probe should be used for the temporal and cranial arteries.</w:t>
            </w:r>
          </w:p>
          <w:p w:rsidR="002418EB" w:rsidRDefault="002418EB" w:rsidP="002418EB">
            <w:pPr>
              <w:numPr>
                <w:ilvl w:val="0"/>
                <w:numId w:val="1"/>
              </w:num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</w:pPr>
            <w:r>
              <w:t>Enter patient details and check patient identification before study</w:t>
            </w:r>
          </w:p>
          <w:p w:rsidR="002418EB" w:rsidRDefault="002418EB" w:rsidP="002418EB">
            <w:pPr>
              <w:numPr>
                <w:ilvl w:val="0"/>
                <w:numId w:val="1"/>
              </w:num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</w:pPr>
            <w:r>
              <w:t xml:space="preserve">If possible the patient should be scanned supine with the head turned to access the temporal artery. A considerable amount of gel may be needed to aid ultrasound transmission through the hair, and patients should be warned of this before beginning the examination. </w:t>
            </w:r>
            <w:r>
              <w:br/>
              <w:t>Adhere to infection control policies and consider the safe use of ultrasound at all times</w:t>
            </w:r>
          </w:p>
          <w:p w:rsidR="002418EB" w:rsidRDefault="002418EB" w:rsidP="002418EB">
            <w:pPr>
              <w:numPr>
                <w:ilvl w:val="0"/>
                <w:numId w:val="1"/>
              </w:num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</w:pPr>
            <w:r>
              <w:t>Locate the right temporal artery (with both frontal and parietal branches) in B-mode and assess for inflammation/oedema of the vessel wall (halo sign). A transverse B-mode image with correc</w:t>
            </w:r>
            <w:r w:rsidR="008802EE">
              <w:t>t annotation should be stored.</w:t>
            </w:r>
            <w:r w:rsidR="008802EE">
              <w:br/>
              <w:t>If present, t</w:t>
            </w:r>
            <w:r>
              <w:t xml:space="preserve">he halo should be circumferential and be </w:t>
            </w:r>
            <w:r w:rsidR="008802EE">
              <w:t>visualised</w:t>
            </w:r>
            <w:r>
              <w:t xml:space="preserve"> in two </w:t>
            </w:r>
            <w:r w:rsidR="008802EE">
              <w:t xml:space="preserve">imaging </w:t>
            </w:r>
            <w:r>
              <w:t>planes.</w:t>
            </w:r>
          </w:p>
          <w:p w:rsidR="002418EB" w:rsidRDefault="002418EB" w:rsidP="002418EB">
            <w:pPr>
              <w:numPr>
                <w:ilvl w:val="0"/>
                <w:numId w:val="1"/>
              </w:num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</w:pPr>
            <w:r>
              <w:t xml:space="preserve">Imaging in transverse section, apply pressure along the length of the temporal artery. </w:t>
            </w:r>
            <w:r>
              <w:br/>
              <w:t>A normal temporal artery will collapse flat under probe pressure.</w:t>
            </w:r>
            <w:r>
              <w:br/>
              <w:t xml:space="preserve">Care should be taken when performing this assessment as the temporal artery may sit within a concave area of bone, making compression </w:t>
            </w:r>
            <w:r>
              <w:lastRenderedPageBreak/>
              <w:t>difficult.</w:t>
            </w:r>
            <w:r>
              <w:br/>
            </w:r>
          </w:p>
          <w:p w:rsidR="002418EB" w:rsidRDefault="002418EB" w:rsidP="002418EB">
            <w:pPr>
              <w:numPr>
                <w:ilvl w:val="0"/>
                <w:numId w:val="1"/>
              </w:num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</w:pPr>
            <w:r>
              <w:t>Repeat the assessment of the temporal artery with colour Doppler, taking care to optimise settings. Assess for the presence/absence of flow</w:t>
            </w:r>
            <w:r w:rsidR="008802EE">
              <w:t xml:space="preserve"> and filling defects</w:t>
            </w:r>
            <w:r>
              <w:t>.</w:t>
            </w:r>
          </w:p>
          <w:p w:rsidR="002418EB" w:rsidRDefault="002418EB" w:rsidP="002418EB">
            <w:pPr>
              <w:numPr>
                <w:ilvl w:val="0"/>
                <w:numId w:val="1"/>
              </w:numPr>
              <w:spacing w:after="0"/>
            </w:pPr>
            <w:r>
              <w:t xml:space="preserve">If colour Doppler imaging suggests a significant stenosis, Spectral Doppler should be used to determine direction of </w:t>
            </w:r>
            <w:proofErr w:type="gramStart"/>
            <w:r>
              <w:t>flow,</w:t>
            </w:r>
            <w:proofErr w:type="gramEnd"/>
            <w:r>
              <w:t xml:space="preserve"> and velocity of stenotic flow (usual V1:V2 velocity criteria applies for significant stenosis). Save a colour flow image and any relevant spectral traces of </w:t>
            </w:r>
            <w:proofErr w:type="spellStart"/>
            <w:r>
              <w:t>stenoses</w:t>
            </w:r>
            <w:proofErr w:type="spellEnd"/>
            <w:r>
              <w:t>.</w:t>
            </w:r>
          </w:p>
          <w:p w:rsidR="002418EB" w:rsidRDefault="002418EB" w:rsidP="002418EB">
            <w:pPr>
              <w:numPr>
                <w:ilvl w:val="0"/>
                <w:numId w:val="1"/>
              </w:numPr>
              <w:spacing w:after="0"/>
            </w:pPr>
            <w:r>
              <w:t>Repeat steps 4-7 for the</w:t>
            </w:r>
            <w:r>
              <w:rPr>
                <w:color w:val="212121"/>
                <w:highlight w:val="white"/>
              </w:rPr>
              <w:t xml:space="preserve"> axillary arteries. </w:t>
            </w:r>
            <w:r w:rsidR="008802EE">
              <w:rPr>
                <w:color w:val="212121"/>
                <w:highlight w:val="white"/>
              </w:rPr>
              <w:t>Facial and occipital arteries can also be included but are not essential.</w:t>
            </w:r>
            <w:r>
              <w:rPr>
                <w:color w:val="212121"/>
                <w:highlight w:val="white"/>
              </w:rPr>
              <w:br/>
              <w:t>Machine settings and probes will need to be changed before imaging the axillary artery.</w:t>
            </w:r>
          </w:p>
          <w:p w:rsidR="002418EB" w:rsidRDefault="002418EB" w:rsidP="002418EB">
            <w:pPr>
              <w:numPr>
                <w:ilvl w:val="0"/>
                <w:numId w:val="1"/>
              </w:numPr>
              <w:spacing w:after="0"/>
              <w:rPr>
                <w:color w:val="212121"/>
                <w:highlight w:val="white"/>
              </w:rPr>
            </w:pPr>
            <w:r>
              <w:rPr>
                <w:color w:val="212121"/>
                <w:highlight w:val="white"/>
              </w:rPr>
              <w:t>Repeat the scan for the left side</w:t>
            </w:r>
          </w:p>
          <w:p w:rsidR="002418EB" w:rsidRDefault="002418EB" w:rsidP="002418EB">
            <w:pPr>
              <w:numPr>
                <w:ilvl w:val="0"/>
                <w:numId w:val="1"/>
              </w:numPr>
              <w:spacing w:after="200"/>
              <w:rPr>
                <w:color w:val="212121"/>
                <w:highlight w:val="white"/>
              </w:rPr>
            </w:pPr>
            <w:r>
              <w:rPr>
                <w:color w:val="212121"/>
                <w:highlight w:val="white"/>
              </w:rPr>
              <w:t xml:space="preserve">Give the patient sufficient paper to remove the gel and clean machine, and all used probes with </w:t>
            </w:r>
            <w:proofErr w:type="spellStart"/>
            <w:r>
              <w:rPr>
                <w:color w:val="212121"/>
                <w:highlight w:val="white"/>
              </w:rPr>
              <w:t>clinell</w:t>
            </w:r>
            <w:proofErr w:type="spellEnd"/>
            <w:r>
              <w:rPr>
                <w:color w:val="212121"/>
                <w:highlight w:val="white"/>
              </w:rPr>
              <w:t xml:space="preserve"> wipes and in accordance with infection control procedures. </w:t>
            </w:r>
          </w:p>
        </w:tc>
      </w:tr>
      <w:tr w:rsidR="002418EB" w:rsidTr="00F747E6">
        <w:trPr>
          <w:trHeight w:val="545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lastRenderedPageBreak/>
              <w:t>3.1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</w:rPr>
            </w:pPr>
            <w:r>
              <w:rPr>
                <w:b/>
              </w:rPr>
              <w:t>Reporting</w:t>
            </w:r>
          </w:p>
        </w:tc>
      </w:tr>
      <w:tr w:rsidR="002418EB" w:rsidTr="00F747E6">
        <w:trPr>
          <w:trHeight w:val="530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spacing w:after="0" w:line="276" w:lineRule="auto"/>
              <w:jc w:val="center"/>
            </w:pPr>
            <w:r>
              <w:t xml:space="preserve"> 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spacing w:after="0"/>
              <w:ind w:left="141"/>
            </w:pPr>
            <w:r>
              <w:t xml:space="preserve"> Reports should include:</w:t>
            </w:r>
          </w:p>
          <w:p w:rsidR="002418EB" w:rsidRDefault="002418EB" w:rsidP="002418EB">
            <w:pPr>
              <w:numPr>
                <w:ilvl w:val="0"/>
                <w:numId w:val="2"/>
              </w:numPr>
              <w:spacing w:after="0"/>
            </w:pPr>
            <w:r>
              <w:t xml:space="preserve">Which arteries have been assessed, commenting on the presence/absence of </w:t>
            </w:r>
            <w:r w:rsidR="008802EE">
              <w:t>signs of arteritis</w:t>
            </w:r>
          </w:p>
          <w:p w:rsidR="002418EB" w:rsidRDefault="002418EB" w:rsidP="002418EB">
            <w:pPr>
              <w:numPr>
                <w:ilvl w:val="0"/>
                <w:numId w:val="2"/>
              </w:numPr>
              <w:spacing w:after="0"/>
            </w:pPr>
            <w:r>
              <w:t>The presence of any wall inflammation / halo sign</w:t>
            </w:r>
          </w:p>
          <w:p w:rsidR="002418EB" w:rsidRDefault="002418EB" w:rsidP="002418EB">
            <w:pPr>
              <w:numPr>
                <w:ilvl w:val="0"/>
                <w:numId w:val="2"/>
              </w:numPr>
              <w:spacing w:after="0"/>
            </w:pPr>
            <w:r>
              <w:t>The presence of any occlusions / stenosis</w:t>
            </w:r>
          </w:p>
          <w:p w:rsidR="002418EB" w:rsidRDefault="002418EB" w:rsidP="002418EB">
            <w:pPr>
              <w:numPr>
                <w:ilvl w:val="0"/>
                <w:numId w:val="2"/>
              </w:numPr>
              <w:spacing w:after="0"/>
            </w:pPr>
            <w:r>
              <w:t>The absence or non-visualisation of branches. If there is no sign of a small occluded vessel, then this should be reported as an absent and possible anatomical variation</w:t>
            </w:r>
          </w:p>
          <w:p w:rsidR="002418EB" w:rsidRDefault="002418EB" w:rsidP="002418EB">
            <w:pPr>
              <w:numPr>
                <w:ilvl w:val="0"/>
                <w:numId w:val="2"/>
              </w:numPr>
              <w:spacing w:after="0"/>
            </w:pPr>
            <w:r>
              <w:t>Any other limitations</w:t>
            </w:r>
          </w:p>
          <w:p w:rsidR="002418EB" w:rsidRDefault="002418EB" w:rsidP="00F747E6">
            <w:pPr>
              <w:widowControl w:val="0"/>
              <w:spacing w:after="0" w:line="276" w:lineRule="auto"/>
            </w:pPr>
          </w:p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41"/>
              <w:jc w:val="both"/>
            </w:pPr>
            <w:r>
              <w:t>Cut Off value between normal intima-media thickness and vasculitis (mm)</w:t>
            </w:r>
            <w:r w:rsidR="008802EE">
              <w:t>. These values may be a useful guide to diagnosis / reporting</w:t>
            </w:r>
          </w:p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41"/>
              <w:jc w:val="both"/>
            </w:pPr>
            <w:r>
              <w:t>Superficial temporal artery: 0.42</w:t>
            </w:r>
          </w:p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41"/>
              <w:jc w:val="both"/>
            </w:pPr>
            <w:r>
              <w:t>Frontal branch: 0.34</w:t>
            </w:r>
          </w:p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41"/>
              <w:jc w:val="both"/>
            </w:pPr>
            <w:r>
              <w:t>Parietal branch: 0.29</w:t>
            </w:r>
          </w:p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200" w:line="276" w:lineRule="auto"/>
              <w:ind w:left="141"/>
              <w:jc w:val="both"/>
            </w:pPr>
            <w:r>
              <w:t>Axillary artery: 1.0</w:t>
            </w:r>
          </w:p>
        </w:tc>
      </w:tr>
      <w:tr w:rsidR="002418EB" w:rsidTr="00F747E6">
        <w:trPr>
          <w:trHeight w:val="545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</w:rPr>
            </w:pPr>
            <w:r>
              <w:rPr>
                <w:b/>
              </w:rPr>
              <w:t>TRAINING REQUIREMENTS</w:t>
            </w:r>
          </w:p>
        </w:tc>
      </w:tr>
      <w:tr w:rsidR="002418EB" w:rsidTr="00F747E6">
        <w:trPr>
          <w:trHeight w:val="785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spacing w:after="0" w:line="276" w:lineRule="auto"/>
              <w:jc w:val="center"/>
            </w:pPr>
            <w:r>
              <w:t xml:space="preserve"> 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200" w:line="276" w:lineRule="auto"/>
              <w:ind w:left="100" w:right="100"/>
            </w:pPr>
            <w:r>
              <w:t>GCA studies should only be undertaken by fully qualified Sonographers holding a relevant qualification in vascular ultrasound.</w:t>
            </w:r>
            <w:r>
              <w:br/>
              <w:t xml:space="preserve">Student scans and reports require </w:t>
            </w:r>
            <w:r w:rsidR="008802EE">
              <w:t xml:space="preserve">observation and </w:t>
            </w:r>
            <w:r>
              <w:t>final verification by their supervisor.</w:t>
            </w:r>
          </w:p>
          <w:p w:rsidR="008802EE" w:rsidRDefault="008802EE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200" w:line="276" w:lineRule="auto"/>
              <w:ind w:left="100" w:right="100"/>
            </w:pPr>
          </w:p>
        </w:tc>
      </w:tr>
      <w:tr w:rsidR="002418EB" w:rsidTr="00F747E6">
        <w:trPr>
          <w:trHeight w:val="545"/>
        </w:trPr>
        <w:tc>
          <w:tcPr>
            <w:tcW w:w="9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</w:rPr>
            </w:pPr>
            <w:r>
              <w:rPr>
                <w:b/>
              </w:rPr>
              <w:t>REFERENCES / RELATED DOCUMENTS</w:t>
            </w:r>
          </w:p>
        </w:tc>
      </w:tr>
      <w:tr w:rsidR="002418EB" w:rsidTr="00F747E6">
        <w:trPr>
          <w:trHeight w:val="785"/>
        </w:trPr>
        <w:tc>
          <w:tcPr>
            <w:tcW w:w="9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spacing w:after="0" w:line="276" w:lineRule="auto"/>
              <w:jc w:val="center"/>
            </w:pPr>
            <w:r>
              <w:t xml:space="preserve"> </w:t>
            </w:r>
          </w:p>
        </w:tc>
        <w:tc>
          <w:tcPr>
            <w:tcW w:w="8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i/>
                <w:sz w:val="12"/>
                <w:szCs w:val="12"/>
                <w:shd w:val="clear" w:color="auto" w:fill="BEBEBE"/>
              </w:rPr>
            </w:pPr>
          </w:p>
          <w:p w:rsidR="002418EB" w:rsidRDefault="002418EB" w:rsidP="00F747E6">
            <w:pPr>
              <w:spacing w:after="200"/>
              <w:ind w:left="141"/>
            </w:pPr>
            <w:proofErr w:type="spellStart"/>
            <w:r>
              <w:t>Poller</w:t>
            </w:r>
            <w:proofErr w:type="spellEnd"/>
            <w:r>
              <w:t xml:space="preserve"> D.N., van </w:t>
            </w:r>
            <w:proofErr w:type="spellStart"/>
            <w:r>
              <w:t>Wyk</w:t>
            </w:r>
            <w:proofErr w:type="spellEnd"/>
            <w:r>
              <w:t xml:space="preserve"> Q., Jeffrey M.J., The importance of skip lesions in temporal arteritis J </w:t>
            </w:r>
            <w:proofErr w:type="spellStart"/>
            <w:r>
              <w:t>Clin</w:t>
            </w:r>
            <w:proofErr w:type="spellEnd"/>
            <w:r>
              <w:t xml:space="preserve"> </w:t>
            </w:r>
            <w:proofErr w:type="spellStart"/>
            <w:r>
              <w:t>Pathol</w:t>
            </w:r>
            <w:proofErr w:type="spellEnd"/>
            <w:r>
              <w:t xml:space="preserve"> 2000;53:137-139 </w:t>
            </w:r>
          </w:p>
          <w:p w:rsidR="002418EB" w:rsidRDefault="002418EB" w:rsidP="00F747E6">
            <w:pPr>
              <w:spacing w:after="200"/>
              <w:ind w:left="141"/>
            </w:pPr>
            <w:r>
              <w:t xml:space="preserve">De Miguel E., </w:t>
            </w:r>
            <w:proofErr w:type="spellStart"/>
            <w:r>
              <w:t>Roxo</w:t>
            </w:r>
            <w:proofErr w:type="spellEnd"/>
            <w:r>
              <w:t xml:space="preserve"> A., Castillo C., </w:t>
            </w:r>
            <w:proofErr w:type="spellStart"/>
            <w:r>
              <w:t>Peiteado</w:t>
            </w:r>
            <w:proofErr w:type="spellEnd"/>
            <w:r>
              <w:t xml:space="preserve"> D., </w:t>
            </w:r>
            <w:proofErr w:type="spellStart"/>
            <w:r>
              <w:t>Villalba</w:t>
            </w:r>
            <w:proofErr w:type="spellEnd"/>
            <w:r>
              <w:t xml:space="preserve"> A., Martin-</w:t>
            </w:r>
            <w:proofErr w:type="spellStart"/>
            <w:r>
              <w:t>Mola</w:t>
            </w:r>
            <w:proofErr w:type="spellEnd"/>
            <w:r>
              <w:t xml:space="preserve"> E. The utility and sensitivity of colour Doppler ultrasound in monitoring changes in giant cell arteritis. 2012, Vol 30, S34-S38.</w:t>
            </w:r>
          </w:p>
          <w:p w:rsidR="002418EB" w:rsidRDefault="002418EB" w:rsidP="00F747E6">
            <w:pPr>
              <w:spacing w:after="200"/>
              <w:ind w:left="141"/>
            </w:pPr>
            <w:r>
              <w:t xml:space="preserve">Alberts M.S., D.M. </w:t>
            </w:r>
            <w:proofErr w:type="spellStart"/>
            <w:r>
              <w:t>Mosen</w:t>
            </w:r>
            <w:proofErr w:type="spellEnd"/>
            <w:r>
              <w:t>.  Diagnosing temporal arteritis: Duplex vs Biopsy.1997. QJM, 100, 785-789.</w:t>
            </w:r>
          </w:p>
          <w:p w:rsidR="002418EB" w:rsidRDefault="002418EB" w:rsidP="00F747E6">
            <w:pPr>
              <w:spacing w:after="200"/>
              <w:ind w:left="141"/>
            </w:pPr>
            <w:r>
              <w:t xml:space="preserve">Schmidt W.A., Seifert A., </w:t>
            </w:r>
            <w:proofErr w:type="spellStart"/>
            <w:r>
              <w:t>Grominica-Ihle</w:t>
            </w:r>
            <w:proofErr w:type="spellEnd"/>
            <w:r>
              <w:t xml:space="preserve"> E., Krause A., </w:t>
            </w:r>
            <w:proofErr w:type="spellStart"/>
            <w:r>
              <w:t>Natusch</w:t>
            </w:r>
            <w:proofErr w:type="spellEnd"/>
            <w:r>
              <w:t xml:space="preserve"> A. Ultrasound of proximal upper extremity arteries to increase the diagnostic yield in large-vessel giant cell arteritis, 2008, 47:96-101.</w:t>
            </w:r>
          </w:p>
          <w:p w:rsidR="002418EB" w:rsidRDefault="002418EB" w:rsidP="00F747E6">
            <w:pPr>
              <w:spacing w:after="200"/>
              <w:ind w:left="141"/>
            </w:pPr>
            <w:r>
              <w:t xml:space="preserve">Schmidt WA, Kraft HE, </w:t>
            </w:r>
            <w:proofErr w:type="spellStart"/>
            <w:r>
              <w:t>Vorpahl</w:t>
            </w:r>
            <w:proofErr w:type="spellEnd"/>
            <w:r>
              <w:t xml:space="preserve"> K, Volker L, </w:t>
            </w:r>
            <w:proofErr w:type="spellStart"/>
            <w:r>
              <w:t>Gromnica-Ihle</w:t>
            </w:r>
            <w:proofErr w:type="spellEnd"/>
            <w:r>
              <w:t xml:space="preserve"> EJ. </w:t>
            </w:r>
            <w:proofErr w:type="spellStart"/>
            <w:r>
              <w:t>Color</w:t>
            </w:r>
            <w:proofErr w:type="spellEnd"/>
            <w:r>
              <w:t xml:space="preserve"> duplex ultrasonography in the diagnosis of temporal arteritis. N </w:t>
            </w:r>
            <w:proofErr w:type="spellStart"/>
            <w:r>
              <w:t>Engl</w:t>
            </w:r>
            <w:proofErr w:type="spellEnd"/>
            <w:r>
              <w:t xml:space="preserve"> J Med. 1997</w:t>
            </w:r>
            <w:proofErr w:type="gramStart"/>
            <w:r>
              <w:t>;337:1336</w:t>
            </w:r>
            <w:proofErr w:type="gramEnd"/>
            <w:r>
              <w:t>–1342.</w:t>
            </w:r>
          </w:p>
          <w:p w:rsidR="002418EB" w:rsidRDefault="002418EB" w:rsidP="00F747E6">
            <w:pPr>
              <w:spacing w:after="200"/>
              <w:ind w:left="141"/>
            </w:pPr>
            <w:r>
              <w:t xml:space="preserve">Schmidt WA. Doppler Ultrasonography in the diagnosis of giant cell arteritis. </w:t>
            </w:r>
            <w:proofErr w:type="spellStart"/>
            <w:r>
              <w:t>Clin</w:t>
            </w:r>
            <w:proofErr w:type="spellEnd"/>
            <w:r>
              <w:t xml:space="preserve"> </w:t>
            </w:r>
            <w:proofErr w:type="spellStart"/>
            <w:r>
              <w:t>Exp</w:t>
            </w:r>
            <w:proofErr w:type="spellEnd"/>
            <w:r>
              <w:t xml:space="preserve"> </w:t>
            </w:r>
            <w:proofErr w:type="spellStart"/>
            <w:r>
              <w:t>Rheumatol</w:t>
            </w:r>
            <w:proofErr w:type="spellEnd"/>
            <w:r>
              <w:t xml:space="preserve">. 2000;18(4 </w:t>
            </w:r>
            <w:proofErr w:type="spellStart"/>
            <w:r>
              <w:t>Suppl</w:t>
            </w:r>
            <w:proofErr w:type="spellEnd"/>
            <w:r>
              <w:t xml:space="preserve"> 20):S40–2</w:t>
            </w:r>
          </w:p>
          <w:p w:rsidR="002418EB" w:rsidRDefault="002418EB" w:rsidP="00F747E6">
            <w:pPr>
              <w:spacing w:after="200"/>
              <w:ind w:left="141"/>
            </w:pPr>
            <w:proofErr w:type="spellStart"/>
            <w:r>
              <w:t>Karahaliou</w:t>
            </w:r>
            <w:proofErr w:type="spellEnd"/>
            <w:r>
              <w:t xml:space="preserve"> M, </w:t>
            </w:r>
            <w:proofErr w:type="spellStart"/>
            <w:r>
              <w:t>Vaiopoulos</w:t>
            </w:r>
            <w:proofErr w:type="spellEnd"/>
            <w:r>
              <w:t xml:space="preserve"> G, </w:t>
            </w:r>
            <w:proofErr w:type="spellStart"/>
            <w:r>
              <w:t>Papaspyrou</w:t>
            </w:r>
            <w:proofErr w:type="spellEnd"/>
            <w:r>
              <w:t xml:space="preserve"> S, </w:t>
            </w:r>
            <w:proofErr w:type="spellStart"/>
            <w:r>
              <w:t>Kanakis</w:t>
            </w:r>
            <w:proofErr w:type="spellEnd"/>
            <w:r>
              <w:t xml:space="preserve"> MA, </w:t>
            </w:r>
            <w:proofErr w:type="spellStart"/>
            <w:r>
              <w:t>Revenas</w:t>
            </w:r>
            <w:proofErr w:type="spellEnd"/>
            <w:r>
              <w:t xml:space="preserve"> K, </w:t>
            </w:r>
            <w:proofErr w:type="spellStart"/>
            <w:r>
              <w:t>Sfikakis</w:t>
            </w:r>
            <w:proofErr w:type="spellEnd"/>
            <w:r>
              <w:t xml:space="preserve"> PP. Colour duplex sonography of temporal arteries before decision for biopsy: a prospective study in 55 patients with suspected giant cell arteritis. Arthritis Res </w:t>
            </w:r>
            <w:proofErr w:type="spellStart"/>
            <w:r>
              <w:t>Ther</w:t>
            </w:r>
            <w:proofErr w:type="spellEnd"/>
            <w:r>
              <w:t>. 2006 Jul;8(4)</w:t>
            </w:r>
          </w:p>
          <w:p w:rsidR="002418EB" w:rsidRDefault="002418EB" w:rsidP="00F747E6">
            <w:pPr>
              <w:spacing w:after="200"/>
              <w:ind w:left="141"/>
            </w:pPr>
            <w:r>
              <w:t>University Hospitals of Leicester, Protocol for Giant Cell Arteritis Ultrasound Scan, Sept 2019</w:t>
            </w:r>
          </w:p>
        </w:tc>
      </w:tr>
    </w:tbl>
    <w:p w:rsidR="002418EB" w:rsidRDefault="002418EB" w:rsidP="002418EB">
      <w:pPr>
        <w:spacing w:after="0" w:line="276" w:lineRule="auto"/>
      </w:pPr>
      <w:r>
        <w:t xml:space="preserve"> </w:t>
      </w:r>
    </w:p>
    <w:p w:rsidR="002418EB" w:rsidRDefault="002418EB" w:rsidP="002418EB">
      <w:pPr>
        <w:spacing w:after="0" w:line="276" w:lineRule="auto"/>
      </w:pPr>
      <w:r>
        <w:t xml:space="preserve"> </w:t>
      </w:r>
    </w:p>
    <w:tbl>
      <w:tblPr>
        <w:tblW w:w="9030" w:type="dxa"/>
        <w:tblInd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7035"/>
      </w:tblGrid>
      <w:tr w:rsidR="002418EB" w:rsidTr="00F747E6">
        <w:trPr>
          <w:trHeight w:val="270"/>
        </w:trPr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First issued: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2020</w:t>
            </w:r>
          </w:p>
        </w:tc>
      </w:tr>
      <w:tr w:rsidR="002418EB" w:rsidTr="00F747E6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Version no: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spacing w:after="0" w:line="276" w:lineRule="auto"/>
            </w:pPr>
            <w:r>
              <w:t xml:space="preserve"> 1</w:t>
            </w:r>
          </w:p>
        </w:tc>
      </w:tr>
      <w:tr w:rsidR="002418EB" w:rsidTr="00F747E6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issued: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2020</w:t>
            </w:r>
          </w:p>
        </w:tc>
      </w:tr>
      <w:tr w:rsidR="002418EB" w:rsidTr="00F747E6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Review date: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 2023</w:t>
            </w:r>
          </w:p>
        </w:tc>
      </w:tr>
      <w:tr w:rsidR="002418EB" w:rsidTr="00F747E6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 review by: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 Sonographer - Vascular </w:t>
            </w:r>
          </w:p>
        </w:tc>
      </w:tr>
      <w:tr w:rsidR="002418EB" w:rsidTr="00F747E6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left="10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Approved by: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8EB" w:rsidRDefault="002418EB" w:rsidP="00F747E6">
            <w:pPr>
              <w:pBdr>
                <w:top w:val="none" w:sz="0" w:space="1" w:color="auto"/>
                <w:bottom w:val="none" w:sz="0" w:space="1" w:color="auto"/>
                <w:between w:val="none" w:sz="0" w:space="1" w:color="auto"/>
              </w:pBdr>
              <w:spacing w:after="0" w:line="276" w:lineRule="auto"/>
              <w:ind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Imaging Governance Group</w:t>
            </w:r>
          </w:p>
        </w:tc>
      </w:tr>
    </w:tbl>
    <w:p w:rsidR="002418EB" w:rsidRDefault="002418EB" w:rsidP="002418EB">
      <w:pPr>
        <w:spacing w:after="0" w:line="276" w:lineRule="auto"/>
      </w:pPr>
      <w:r>
        <w:t xml:space="preserve"> </w:t>
      </w:r>
      <w:r>
        <w:br w:type="page"/>
      </w:r>
    </w:p>
    <w:p w:rsidR="00457749" w:rsidRDefault="005C4186"/>
    <w:sectPr w:rsidR="00457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5A92"/>
    <w:multiLevelType w:val="multilevel"/>
    <w:tmpl w:val="A1FE1A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7D00BE1"/>
    <w:multiLevelType w:val="multilevel"/>
    <w:tmpl w:val="F54E77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EB"/>
    <w:rsid w:val="002418EB"/>
    <w:rsid w:val="005C4186"/>
    <w:rsid w:val="008405F1"/>
    <w:rsid w:val="008802EE"/>
    <w:rsid w:val="00C1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8EB"/>
    <w:pPr>
      <w:spacing w:after="240" w:line="240" w:lineRule="auto"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rsid w:val="002418EB"/>
    <w:pPr>
      <w:keepNext/>
      <w:keepLines/>
      <w:spacing w:before="400" w:after="120"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8EB"/>
    <w:rPr>
      <w:rFonts w:ascii="Arial" w:eastAsia="Arial" w:hAnsi="Arial" w:cs="Arial"/>
      <w:b/>
      <w:sz w:val="28"/>
      <w:szCs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18EB"/>
    <w:pPr>
      <w:spacing w:after="240" w:line="240" w:lineRule="auto"/>
    </w:pPr>
    <w:rPr>
      <w:rFonts w:ascii="Arial" w:eastAsia="Arial" w:hAnsi="Arial" w:cs="Arial"/>
      <w:lang w:eastAsia="en-GB"/>
    </w:rPr>
  </w:style>
  <w:style w:type="paragraph" w:styleId="Heading1">
    <w:name w:val="heading 1"/>
    <w:basedOn w:val="Normal"/>
    <w:next w:val="Normal"/>
    <w:link w:val="Heading1Char"/>
    <w:rsid w:val="002418EB"/>
    <w:pPr>
      <w:keepNext/>
      <w:keepLines/>
      <w:spacing w:before="400" w:after="120"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8EB"/>
    <w:rPr>
      <w:rFonts w:ascii="Arial" w:eastAsia="Arial" w:hAnsi="Arial" w:cs="Arial"/>
      <w:b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Royal Hospital</Company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Beardshall</dc:creator>
  <cp:lastModifiedBy>Matthew Beardshall</cp:lastModifiedBy>
  <cp:revision>2</cp:revision>
  <dcterms:created xsi:type="dcterms:W3CDTF">2021-09-08T08:16:00Z</dcterms:created>
  <dcterms:modified xsi:type="dcterms:W3CDTF">2021-09-08T08:16:00Z</dcterms:modified>
</cp:coreProperties>
</file>