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CFE7" w14:textId="6B7DAD69" w:rsidR="00A01AF2" w:rsidRDefault="007041CF" w:rsidP="007041CF">
      <w:pPr>
        <w:jc w:val="center"/>
        <w:rPr>
          <w:sz w:val="32"/>
          <w:szCs w:val="32"/>
          <w:u w:val="single"/>
        </w:rPr>
      </w:pPr>
      <w:r w:rsidRPr="007041CF">
        <w:rPr>
          <w:sz w:val="32"/>
          <w:szCs w:val="32"/>
          <w:u w:val="single"/>
        </w:rPr>
        <w:t>Virtual Vascular Chapter: Late Complications and Surveillance after EVAR with Dr. F.Bastos Goncalves and Prof. Dr. H. Verhagen</w:t>
      </w:r>
    </w:p>
    <w:p w14:paraId="4F728A1B" w14:textId="78291C79" w:rsidR="007041CF" w:rsidRPr="007041CF" w:rsidRDefault="007041CF" w:rsidP="007041CF">
      <w:pPr>
        <w:jc w:val="center"/>
        <w:rPr>
          <w:sz w:val="28"/>
          <w:szCs w:val="28"/>
          <w:u w:val="single"/>
        </w:rPr>
      </w:pPr>
    </w:p>
    <w:p w14:paraId="5C365906" w14:textId="72A876BE" w:rsidR="007041CF" w:rsidRPr="007041CF" w:rsidRDefault="007041CF" w:rsidP="007041CF">
      <w:pPr>
        <w:rPr>
          <w:sz w:val="28"/>
          <w:szCs w:val="28"/>
        </w:rPr>
      </w:pPr>
      <w:r w:rsidRPr="007041CF">
        <w:rPr>
          <w:sz w:val="28"/>
          <w:szCs w:val="28"/>
        </w:rPr>
        <w:t>Points of interest from the podcast:</w:t>
      </w:r>
    </w:p>
    <w:p w14:paraId="43E03A27" w14:textId="006C0B4F" w:rsidR="007041CF" w:rsidRDefault="00457E48" w:rsidP="007041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Endoleaks don’t matter as long as there is no rupture.</w:t>
      </w:r>
    </w:p>
    <w:p w14:paraId="6A89EA23" w14:textId="649D20D0" w:rsidR="00255C0D" w:rsidRDefault="00457E48" w:rsidP="00255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30-40% have complications at 5 years, only 10-15% require intervention.</w:t>
      </w:r>
    </w:p>
    <w:p w14:paraId="7B00B43C" w14:textId="21137237" w:rsidR="00255C0D" w:rsidRDefault="00255C0D" w:rsidP="00255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1 – late complication, more likely due to progression of disease rather than graft failure.</w:t>
      </w:r>
    </w:p>
    <w:p w14:paraId="0211766F" w14:textId="0DC4139F" w:rsidR="00255C0D" w:rsidRDefault="00255C0D" w:rsidP="00255C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2 – most common - ~20% of patients at first post-op CT. Reduces to 5-10% at 1 year.</w:t>
      </w:r>
    </w:p>
    <w:p w14:paraId="36317E46" w14:textId="44018F38" w:rsidR="00255C0D" w:rsidRDefault="00255C0D" w:rsidP="00255C0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True Type 2 endoleaks – unimportant </w:t>
      </w:r>
      <w:r w:rsidR="005C3011">
        <w:rPr>
          <w:sz w:val="24"/>
          <w:szCs w:val="24"/>
        </w:rPr>
        <w:t>– low pressure.</w:t>
      </w:r>
    </w:p>
    <w:p w14:paraId="322A2E12" w14:textId="77777777" w:rsidR="005C3011" w:rsidRDefault="005C3011" w:rsidP="005C30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Guidelines – Type 2 endoleak + 1cm sac growth = treatment</w:t>
      </w:r>
      <w:r w:rsidRPr="005C3011">
        <w:rPr>
          <w:sz w:val="24"/>
          <w:szCs w:val="24"/>
        </w:rPr>
        <w:t xml:space="preserve"> </w:t>
      </w:r>
    </w:p>
    <w:p w14:paraId="52C71EED" w14:textId="587F8E07" w:rsidR="005C3011" w:rsidRDefault="005C3011" w:rsidP="005C30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Treatment often unsuccessful.</w:t>
      </w:r>
      <w:r>
        <w:rPr>
          <w:sz w:val="24"/>
          <w:szCs w:val="24"/>
        </w:rPr>
        <w:t xml:space="preserve"> – growth likely caused by something else.</w:t>
      </w:r>
    </w:p>
    <w:p w14:paraId="38E78226" w14:textId="1BC76A36" w:rsidR="005C3011" w:rsidRDefault="005C3011" w:rsidP="005C30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3 rare.</w:t>
      </w:r>
    </w:p>
    <w:p w14:paraId="4C42533D" w14:textId="512C4134" w:rsidR="005C3011" w:rsidRDefault="005C3011" w:rsidP="005C30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sacs keep growing with no endoleak - ? due to biological factors within the sac wall ? genetics.</w:t>
      </w:r>
    </w:p>
    <w:p w14:paraId="29CE48ED" w14:textId="5C23A957" w:rsidR="005C3011" w:rsidRDefault="005C3011" w:rsidP="005C30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Patients with sac decrease after 1 year do much better </w:t>
      </w:r>
      <w:r w:rsidR="00A24380">
        <w:rPr>
          <w:sz w:val="24"/>
          <w:szCs w:val="24"/>
        </w:rPr>
        <w:t>(morbidity/mortality) than those with stable or increase sac size – again ? biological/genetic factors.</w:t>
      </w:r>
    </w:p>
    <w:p w14:paraId="616F565E" w14:textId="0A29269B" w:rsidR="00A24380" w:rsidRDefault="00A24380" w:rsidP="00A24380">
      <w:pPr>
        <w:rPr>
          <w:sz w:val="24"/>
          <w:szCs w:val="24"/>
        </w:rPr>
      </w:pPr>
      <w:r>
        <w:rPr>
          <w:sz w:val="24"/>
          <w:szCs w:val="24"/>
        </w:rPr>
        <w:t>Surveillance Protocols:</w:t>
      </w:r>
    </w:p>
    <w:p w14:paraId="595905DC" w14:textId="03242377" w:rsidR="00A24380" w:rsidRDefault="00A24380" w:rsidP="00A243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Patients that don’t follow sp are generally no worse off:</w:t>
      </w:r>
    </w:p>
    <w:p w14:paraId="68CF47CA" w14:textId="0BF2A6A9" w:rsidR="00A24380" w:rsidRDefault="00A24380" w:rsidP="00A24380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Most large studies show that patients that are non-compliant with sp have at least as good survival, less interventions, less suffering, less cost to NHS.</w:t>
      </w:r>
    </w:p>
    <w:p w14:paraId="76F05AA3" w14:textId="4CB9241A" w:rsidR="00A24380" w:rsidRDefault="00A24380" w:rsidP="00A243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a sub-group of patients </w:t>
      </w:r>
      <w:r w:rsidR="003D799F">
        <w:rPr>
          <w:sz w:val="24"/>
          <w:szCs w:val="24"/>
        </w:rPr>
        <w:t>that don’t require follow-up for a least the first 5 years based on their 1</w:t>
      </w:r>
      <w:r w:rsidR="003D799F" w:rsidRPr="003D799F">
        <w:rPr>
          <w:sz w:val="24"/>
          <w:szCs w:val="24"/>
          <w:vertAlign w:val="superscript"/>
        </w:rPr>
        <w:t>st</w:t>
      </w:r>
      <w:r w:rsidR="003D799F">
        <w:rPr>
          <w:sz w:val="24"/>
          <w:szCs w:val="24"/>
        </w:rPr>
        <w:t xml:space="preserve"> CT scan results; however, the science is still slim on this.</w:t>
      </w:r>
    </w:p>
    <w:p w14:paraId="75AAD7A1" w14:textId="6427F505" w:rsidR="003D799F" w:rsidRPr="00A24380" w:rsidRDefault="003D799F" w:rsidP="00A243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Some patients have a real benefit from surveillance  - ? high risk patients selected for surveillance.</w:t>
      </w:r>
    </w:p>
    <w:p w14:paraId="010619C0" w14:textId="3BFA437D" w:rsidR="005C3011" w:rsidRPr="00255C0D" w:rsidRDefault="005C3011" w:rsidP="005C3011">
      <w:pPr>
        <w:pStyle w:val="ListParagraph"/>
        <w:ind w:left="1440"/>
        <w:rPr>
          <w:sz w:val="24"/>
          <w:szCs w:val="24"/>
        </w:rPr>
      </w:pPr>
    </w:p>
    <w:sectPr w:rsidR="005C3011" w:rsidRPr="00255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1F9"/>
    <w:multiLevelType w:val="hybridMultilevel"/>
    <w:tmpl w:val="3A10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54676"/>
    <w:multiLevelType w:val="hybridMultilevel"/>
    <w:tmpl w:val="CB10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E3959"/>
    <w:multiLevelType w:val="hybridMultilevel"/>
    <w:tmpl w:val="8654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2094">
    <w:abstractNumId w:val="2"/>
  </w:num>
  <w:num w:numId="2" w16cid:durableId="11763296">
    <w:abstractNumId w:val="1"/>
  </w:num>
  <w:num w:numId="3" w16cid:durableId="70125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CF"/>
    <w:rsid w:val="00255C0D"/>
    <w:rsid w:val="003D799F"/>
    <w:rsid w:val="00457E48"/>
    <w:rsid w:val="005C3011"/>
    <w:rsid w:val="007041CF"/>
    <w:rsid w:val="00A01AF2"/>
    <w:rsid w:val="00A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1F6C"/>
  <w15:chartTrackingRefBased/>
  <w15:docId w15:val="{7578CCAA-C565-4D91-923D-75C4643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Cleal Sarah (R0A) Manchester University NHS FT</dc:creator>
  <cp:keywords/>
  <dc:description/>
  <cp:lastModifiedBy>Cleal Sarah (R0A) Manchester University NHS FT</cp:lastModifiedBy>
  <cp:revision>2</cp:revision>
  <dcterms:created xsi:type="dcterms:W3CDTF">2023-10-17T11:03:00Z</dcterms:created>
  <dcterms:modified xsi:type="dcterms:W3CDTF">2023-10-17T13:10:00Z</dcterms:modified>
</cp:coreProperties>
</file>