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C76" w:rsidRPr="00A60FC3" w:rsidRDefault="00AC22DA">
      <w:pPr>
        <w:rPr>
          <w:sz w:val="24"/>
          <w:szCs w:val="24"/>
        </w:rPr>
      </w:pPr>
      <w:r w:rsidRPr="00A60FC3">
        <w:rPr>
          <w:sz w:val="24"/>
          <w:szCs w:val="24"/>
        </w:rPr>
        <w:t>CPD QUESTIONS SUMMER 2015</w:t>
      </w:r>
    </w:p>
    <w:p w:rsidR="00AC22DA" w:rsidRDefault="00AC22DA">
      <w:pPr>
        <w:rPr>
          <w:sz w:val="20"/>
          <w:szCs w:val="20"/>
        </w:rPr>
      </w:pPr>
      <w:r>
        <w:rPr>
          <w:sz w:val="20"/>
          <w:szCs w:val="20"/>
        </w:rPr>
        <w:t xml:space="preserve">Q1. </w:t>
      </w:r>
      <w:r>
        <w:rPr>
          <w:sz w:val="20"/>
          <w:szCs w:val="20"/>
        </w:rPr>
        <w:tab/>
        <w:t>4</w:t>
      </w:r>
    </w:p>
    <w:p w:rsidR="00AC22DA" w:rsidRDefault="00AC22DA">
      <w:pPr>
        <w:rPr>
          <w:sz w:val="20"/>
          <w:szCs w:val="20"/>
        </w:rPr>
      </w:pPr>
      <w:r>
        <w:rPr>
          <w:sz w:val="20"/>
          <w:szCs w:val="20"/>
        </w:rPr>
        <w:t>Q2.</w:t>
      </w:r>
      <w:r>
        <w:rPr>
          <w:sz w:val="20"/>
          <w:szCs w:val="20"/>
        </w:rPr>
        <w:tab/>
        <w:t>Within 24 hours.</w:t>
      </w:r>
    </w:p>
    <w:p w:rsidR="00AC22DA" w:rsidRDefault="00AC22DA">
      <w:pPr>
        <w:rPr>
          <w:sz w:val="20"/>
          <w:szCs w:val="20"/>
        </w:rPr>
      </w:pPr>
      <w:r>
        <w:rPr>
          <w:sz w:val="20"/>
          <w:szCs w:val="20"/>
        </w:rPr>
        <w:t>Q3.</w:t>
      </w:r>
      <w:r>
        <w:rPr>
          <w:sz w:val="20"/>
          <w:szCs w:val="20"/>
        </w:rPr>
        <w:tab/>
      </w:r>
      <w:proofErr w:type="gramStart"/>
      <w:r>
        <w:rPr>
          <w:sz w:val="20"/>
          <w:szCs w:val="20"/>
        </w:rPr>
        <w:t>Specialist  assessment</w:t>
      </w:r>
      <w:proofErr w:type="gramEnd"/>
      <w:r>
        <w:rPr>
          <w:sz w:val="20"/>
          <w:szCs w:val="20"/>
        </w:rPr>
        <w:t xml:space="preserve"> within 1 week of symptom onset, including decision on brain imaging.</w:t>
      </w:r>
    </w:p>
    <w:p w:rsidR="00AC22DA" w:rsidRDefault="00AC22DA">
      <w:pPr>
        <w:rPr>
          <w:sz w:val="20"/>
          <w:szCs w:val="20"/>
        </w:rPr>
      </w:pPr>
      <w:r>
        <w:rPr>
          <w:sz w:val="20"/>
          <w:szCs w:val="20"/>
        </w:rPr>
        <w:t>Q4.</w:t>
      </w:r>
      <w:r>
        <w:rPr>
          <w:sz w:val="20"/>
          <w:szCs w:val="20"/>
        </w:rPr>
        <w:tab/>
        <w:t xml:space="preserve">People with crescendo </w:t>
      </w:r>
      <w:r w:rsidR="00945670">
        <w:rPr>
          <w:sz w:val="20"/>
          <w:szCs w:val="20"/>
        </w:rPr>
        <w:t>TIA (two or more TIA’s in a week) should be treated as being at high risk of stroke, even though they may have an ABCD2 score of 3 or below.</w:t>
      </w:r>
    </w:p>
    <w:p w:rsidR="000F5C76" w:rsidRDefault="000F5C76">
      <w:pPr>
        <w:rPr>
          <w:sz w:val="20"/>
          <w:szCs w:val="20"/>
        </w:rPr>
      </w:pPr>
      <w:r>
        <w:rPr>
          <w:sz w:val="20"/>
          <w:szCs w:val="20"/>
        </w:rPr>
        <w:t>Q5.</w:t>
      </w:r>
      <w:r>
        <w:rPr>
          <w:sz w:val="20"/>
          <w:szCs w:val="20"/>
        </w:rPr>
        <w:tab/>
        <w:t>These scoring systems exclude certain populations that may be at particularly high risk of stroke, such as those with recurrent TIA’s and those on anticoagulation treatment who also needs urgent evaluation. They also may not be relevant to patients who present late.</w:t>
      </w:r>
    </w:p>
    <w:p w:rsidR="000F5C76" w:rsidRDefault="000F5C76">
      <w:pPr>
        <w:rPr>
          <w:sz w:val="20"/>
          <w:szCs w:val="20"/>
        </w:rPr>
      </w:pPr>
      <w:r>
        <w:rPr>
          <w:sz w:val="20"/>
          <w:szCs w:val="20"/>
        </w:rPr>
        <w:t>Q6.</w:t>
      </w:r>
      <w:r w:rsidRPr="000F5C76">
        <w:rPr>
          <w:sz w:val="20"/>
          <w:szCs w:val="20"/>
        </w:rPr>
        <w:t xml:space="preserve"> </w:t>
      </w:r>
      <w:r>
        <w:rPr>
          <w:sz w:val="20"/>
          <w:szCs w:val="20"/>
        </w:rPr>
        <w:tab/>
        <w:t>People with crescendo TIA (two or more TIA’s in a week) should be treated as being at high risk of stroke, even though they may have an ABCD2 score of 3 or below</w:t>
      </w:r>
      <w:r>
        <w:rPr>
          <w:sz w:val="20"/>
          <w:szCs w:val="20"/>
        </w:rPr>
        <w:tab/>
        <w:t>(SAME AS Q4)</w:t>
      </w:r>
    </w:p>
    <w:p w:rsidR="000F5C76" w:rsidRDefault="000F5C76">
      <w:pPr>
        <w:rPr>
          <w:sz w:val="20"/>
          <w:szCs w:val="20"/>
        </w:rPr>
      </w:pPr>
      <w:r>
        <w:rPr>
          <w:sz w:val="20"/>
          <w:szCs w:val="20"/>
        </w:rPr>
        <w:t>Q7.</w:t>
      </w:r>
      <w:r>
        <w:rPr>
          <w:sz w:val="20"/>
          <w:szCs w:val="20"/>
        </w:rPr>
        <w:tab/>
        <w:t xml:space="preserve">On admission, screen swallowing before giving any oral food, fluid or medication. </w:t>
      </w:r>
      <w:proofErr w:type="gramStart"/>
      <w:r>
        <w:rPr>
          <w:sz w:val="20"/>
          <w:szCs w:val="20"/>
        </w:rPr>
        <w:t>If problems with swallowing, refer for specialist assessment within 24 to 72 hours.</w:t>
      </w:r>
      <w:proofErr w:type="gramEnd"/>
    </w:p>
    <w:p w:rsidR="000F5C76" w:rsidRPr="00A60FC3" w:rsidRDefault="00981649">
      <w:pPr>
        <w:rPr>
          <w:sz w:val="28"/>
          <w:szCs w:val="28"/>
        </w:rPr>
      </w:pPr>
      <w:r>
        <w:rPr>
          <w:sz w:val="20"/>
          <w:szCs w:val="20"/>
        </w:rPr>
        <w:t>Q8.</w:t>
      </w:r>
      <w:r>
        <w:rPr>
          <w:sz w:val="20"/>
          <w:szCs w:val="20"/>
        </w:rPr>
        <w:tab/>
        <w:t>1. I</w:t>
      </w:r>
      <w:r w:rsidR="000F5C76">
        <w:rPr>
          <w:sz w:val="20"/>
          <w:szCs w:val="20"/>
        </w:rPr>
        <w:t>ndications for</w:t>
      </w:r>
      <w:r>
        <w:rPr>
          <w:sz w:val="20"/>
          <w:szCs w:val="20"/>
        </w:rPr>
        <w:t xml:space="preserve"> thrombolysis or early anticoagulation treatment.</w:t>
      </w:r>
    </w:p>
    <w:p w:rsidR="00981649" w:rsidRDefault="00981649">
      <w:pPr>
        <w:rPr>
          <w:sz w:val="20"/>
          <w:szCs w:val="20"/>
        </w:rPr>
      </w:pPr>
      <w:r>
        <w:rPr>
          <w:sz w:val="20"/>
          <w:szCs w:val="20"/>
        </w:rPr>
        <w:tab/>
        <w:t>2. on anticoagulation treatment.</w:t>
      </w:r>
    </w:p>
    <w:p w:rsidR="00981649" w:rsidRDefault="00981649">
      <w:pPr>
        <w:rPr>
          <w:sz w:val="20"/>
          <w:szCs w:val="20"/>
        </w:rPr>
      </w:pPr>
      <w:r>
        <w:rPr>
          <w:sz w:val="20"/>
          <w:szCs w:val="20"/>
        </w:rPr>
        <w:t>Q9.</w:t>
      </w:r>
      <w:r>
        <w:rPr>
          <w:sz w:val="20"/>
          <w:szCs w:val="20"/>
        </w:rPr>
        <w:tab/>
        <w:t>Immediately is defined as ‘ideally the next slot and definitely within 1 hour, whichever is sooner’ in line with the National Stroke Strategy.</w:t>
      </w:r>
    </w:p>
    <w:p w:rsidR="00E31CFE" w:rsidRDefault="00981649">
      <w:pPr>
        <w:rPr>
          <w:sz w:val="20"/>
          <w:szCs w:val="20"/>
        </w:rPr>
      </w:pPr>
      <w:r>
        <w:rPr>
          <w:sz w:val="20"/>
          <w:szCs w:val="20"/>
        </w:rPr>
        <w:t>Q10.</w:t>
      </w:r>
      <w:r>
        <w:rPr>
          <w:sz w:val="20"/>
          <w:szCs w:val="20"/>
        </w:rPr>
        <w:tab/>
      </w:r>
      <w:proofErr w:type="gramStart"/>
      <w:r>
        <w:rPr>
          <w:sz w:val="20"/>
          <w:szCs w:val="20"/>
        </w:rPr>
        <w:t>1.Treatment</w:t>
      </w:r>
      <w:proofErr w:type="gramEnd"/>
      <w:r>
        <w:rPr>
          <w:sz w:val="20"/>
          <w:szCs w:val="20"/>
        </w:rPr>
        <w:t xml:space="preserve"> is st</w:t>
      </w:r>
      <w:r w:rsidR="00E31CFE">
        <w:rPr>
          <w:sz w:val="20"/>
          <w:szCs w:val="20"/>
        </w:rPr>
        <w:t>arted as early as possible within 4.5 hours of onset of stoke symptoms and</w:t>
      </w:r>
      <w:r w:rsidR="00E31CFE">
        <w:rPr>
          <w:sz w:val="20"/>
          <w:szCs w:val="20"/>
        </w:rPr>
        <w:tab/>
        <w:t>2. Intracranial haemorrhage has been excluded by appropriate imaging techniques.</w:t>
      </w:r>
    </w:p>
    <w:p w:rsidR="00E31CFE" w:rsidRDefault="00E31CFE">
      <w:pPr>
        <w:rPr>
          <w:sz w:val="20"/>
          <w:szCs w:val="20"/>
        </w:rPr>
      </w:pPr>
      <w:r>
        <w:rPr>
          <w:sz w:val="20"/>
          <w:szCs w:val="20"/>
        </w:rPr>
        <w:t>Q11.</w:t>
      </w:r>
      <w:r>
        <w:rPr>
          <w:sz w:val="20"/>
          <w:szCs w:val="20"/>
        </w:rPr>
        <w:tab/>
      </w:r>
      <w:proofErr w:type="spellStart"/>
      <w:proofErr w:type="gramStart"/>
      <w:r>
        <w:rPr>
          <w:sz w:val="20"/>
          <w:szCs w:val="20"/>
        </w:rPr>
        <w:t>Alteplase</w:t>
      </w:r>
      <w:proofErr w:type="spellEnd"/>
      <w:r>
        <w:rPr>
          <w:sz w:val="20"/>
          <w:szCs w:val="20"/>
        </w:rPr>
        <w:t>.</w:t>
      </w:r>
      <w:proofErr w:type="gramEnd"/>
    </w:p>
    <w:p w:rsidR="00E31CFE" w:rsidRDefault="00E31CFE">
      <w:pPr>
        <w:rPr>
          <w:sz w:val="20"/>
          <w:szCs w:val="20"/>
        </w:rPr>
      </w:pPr>
      <w:r>
        <w:rPr>
          <w:sz w:val="20"/>
          <w:szCs w:val="20"/>
        </w:rPr>
        <w:t>Q12.</w:t>
      </w:r>
      <w:r>
        <w:rPr>
          <w:sz w:val="20"/>
          <w:szCs w:val="20"/>
        </w:rPr>
        <w:tab/>
        <w:t xml:space="preserve">The cost of </w:t>
      </w:r>
      <w:proofErr w:type="spellStart"/>
      <w:r>
        <w:rPr>
          <w:sz w:val="20"/>
          <w:szCs w:val="20"/>
        </w:rPr>
        <w:t>Alteplase</w:t>
      </w:r>
      <w:proofErr w:type="spellEnd"/>
      <w:r>
        <w:rPr>
          <w:sz w:val="20"/>
          <w:szCs w:val="20"/>
        </w:rPr>
        <w:t xml:space="preserve"> is £135 per 10mg pack, £180 per 20mg pack and £300 per 50mg pack. The cost per course of treatment depends on the body weight of the patient and can range from £300 to £600 based on the recommended dose of 0.9mg per kilogram of body weight. Cost may vary in different settings because of negotiated procurement discounts.</w:t>
      </w:r>
    </w:p>
    <w:p w:rsidR="00E31CFE" w:rsidRDefault="00E31CFE">
      <w:pPr>
        <w:rPr>
          <w:sz w:val="20"/>
          <w:szCs w:val="20"/>
        </w:rPr>
      </w:pPr>
      <w:r>
        <w:rPr>
          <w:sz w:val="20"/>
          <w:szCs w:val="20"/>
        </w:rPr>
        <w:t>Q13.</w:t>
      </w:r>
      <w:r>
        <w:rPr>
          <w:sz w:val="20"/>
          <w:szCs w:val="20"/>
        </w:rPr>
        <w:tab/>
      </w:r>
      <w:proofErr w:type="gramStart"/>
      <w:r>
        <w:rPr>
          <w:sz w:val="20"/>
          <w:szCs w:val="20"/>
        </w:rPr>
        <w:t>Carotid imaging within 1 week of symptom onset.</w:t>
      </w:r>
      <w:proofErr w:type="gramEnd"/>
    </w:p>
    <w:p w:rsidR="00A60FC3" w:rsidRDefault="00A60FC3">
      <w:pPr>
        <w:rPr>
          <w:sz w:val="20"/>
          <w:szCs w:val="20"/>
        </w:rPr>
      </w:pPr>
      <w:r>
        <w:rPr>
          <w:sz w:val="20"/>
          <w:szCs w:val="20"/>
        </w:rPr>
        <w:t>Q14.</w:t>
      </w:r>
      <w:r>
        <w:rPr>
          <w:sz w:val="20"/>
          <w:szCs w:val="20"/>
        </w:rPr>
        <w:tab/>
        <w:t>3 specialists within the multi- disciplinary stroke rehab team,</w:t>
      </w:r>
    </w:p>
    <w:p w:rsidR="00A60FC3" w:rsidRDefault="00A60FC3">
      <w:pPr>
        <w:rPr>
          <w:sz w:val="20"/>
          <w:szCs w:val="20"/>
        </w:rPr>
      </w:pPr>
      <w:r>
        <w:rPr>
          <w:sz w:val="20"/>
          <w:szCs w:val="20"/>
        </w:rPr>
        <w:tab/>
        <w:t>Nurses, physiotherapists, social workers.</w:t>
      </w:r>
    </w:p>
    <w:p w:rsidR="00A60FC3" w:rsidRDefault="00A60FC3">
      <w:pPr>
        <w:rPr>
          <w:sz w:val="20"/>
          <w:szCs w:val="20"/>
        </w:rPr>
      </w:pPr>
    </w:p>
    <w:p w:rsidR="00E31CFE" w:rsidRDefault="00E31CFE">
      <w:pPr>
        <w:rPr>
          <w:sz w:val="20"/>
          <w:szCs w:val="20"/>
        </w:rPr>
      </w:pPr>
    </w:p>
    <w:p w:rsidR="00E31CFE" w:rsidRPr="00E31CFE" w:rsidRDefault="00E31CFE">
      <w:pPr>
        <w:rPr>
          <w:sz w:val="20"/>
          <w:szCs w:val="20"/>
        </w:rPr>
      </w:pPr>
    </w:p>
    <w:p w:rsidR="00981649" w:rsidRPr="00981649" w:rsidRDefault="00981649">
      <w:pPr>
        <w:rPr>
          <w:sz w:val="20"/>
          <w:szCs w:val="20"/>
        </w:rPr>
      </w:pPr>
      <w:r>
        <w:rPr>
          <w:sz w:val="20"/>
          <w:szCs w:val="20"/>
        </w:rPr>
        <w:tab/>
      </w:r>
    </w:p>
    <w:p w:rsidR="000F5C76" w:rsidRDefault="000F5C76">
      <w:pPr>
        <w:rPr>
          <w:sz w:val="20"/>
          <w:szCs w:val="20"/>
        </w:rPr>
      </w:pPr>
    </w:p>
    <w:p w:rsidR="000F5C76" w:rsidRPr="00AC22DA" w:rsidRDefault="000F5C76">
      <w:pPr>
        <w:rPr>
          <w:sz w:val="20"/>
          <w:szCs w:val="20"/>
        </w:rPr>
      </w:pPr>
    </w:p>
    <w:sectPr w:rsidR="000F5C76" w:rsidRPr="00AC22DA" w:rsidSect="003D7D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22DA"/>
    <w:rsid w:val="000F5C76"/>
    <w:rsid w:val="003121E8"/>
    <w:rsid w:val="003D7D17"/>
    <w:rsid w:val="00436503"/>
    <w:rsid w:val="0078350A"/>
    <w:rsid w:val="007B2D31"/>
    <w:rsid w:val="007B2E72"/>
    <w:rsid w:val="009159A4"/>
    <w:rsid w:val="00945670"/>
    <w:rsid w:val="00981649"/>
    <w:rsid w:val="009F07DE"/>
    <w:rsid w:val="00A60FC3"/>
    <w:rsid w:val="00AC22DA"/>
    <w:rsid w:val="00AD3D9D"/>
    <w:rsid w:val="00B35E18"/>
    <w:rsid w:val="00E31CFE"/>
    <w:rsid w:val="00E460F1"/>
    <w:rsid w:val="00F77CD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Arial"/>
        <w:color w:val="000000" w:themeColor="text1"/>
        <w:sz w:val="32"/>
        <w:szCs w:val="3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E72"/>
  </w:style>
  <w:style w:type="paragraph" w:styleId="Heading1">
    <w:name w:val="heading 1"/>
    <w:basedOn w:val="Normal"/>
    <w:next w:val="Normal"/>
    <w:link w:val="Heading1Char"/>
    <w:uiPriority w:val="9"/>
    <w:qFormat/>
    <w:rsid w:val="007B2E72"/>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E72"/>
    <w:rPr>
      <w:rFonts w:asciiTheme="majorHAnsi" w:eastAsiaTheme="majorEastAsia" w:hAnsiTheme="majorHAnsi" w:cstheme="majorBidi"/>
      <w:b w:val="0"/>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vascular</dc:creator>
  <cp:lastModifiedBy>vascular</cp:lastModifiedBy>
  <cp:revision>2</cp:revision>
  <dcterms:created xsi:type="dcterms:W3CDTF">2015-09-02T15:08:00Z</dcterms:created>
  <dcterms:modified xsi:type="dcterms:W3CDTF">2015-09-02T15:08:00Z</dcterms:modified>
</cp:coreProperties>
</file>