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01F" w:rsidRPr="00C8101F" w:rsidRDefault="00C8101F" w:rsidP="00C8101F">
      <w:pPr>
        <w:pStyle w:val="NormalWeb"/>
        <w:spacing w:before="0" w:beforeAutospacing="0" w:after="0" w:afterAutospacing="0"/>
        <w:jc w:val="center"/>
        <w:rPr>
          <w:sz w:val="28"/>
          <w:szCs w:val="28"/>
        </w:rPr>
      </w:pPr>
      <w:r w:rsidRPr="00C8101F">
        <w:rPr>
          <w:rFonts w:asciiTheme="minorHAnsi" w:eastAsiaTheme="minorEastAsia" w:hAnsi="Tw Cen MT" w:cstheme="minorBidi"/>
          <w:b/>
          <w:bCs/>
          <w:iCs/>
          <w:color w:val="000000"/>
          <w:sz w:val="28"/>
          <w:szCs w:val="28"/>
        </w:rPr>
        <w:t>Assessor Standardisation Exercise 1 2021</w:t>
      </w:r>
    </w:p>
    <w:p w:rsidR="00C8101F" w:rsidRDefault="00C8101F" w:rsidP="00C8101F">
      <w:pPr>
        <w:pStyle w:val="NormalWeb"/>
        <w:spacing w:before="0" w:beforeAutospacing="0" w:after="0" w:afterAutospacing="0"/>
        <w:jc w:val="center"/>
        <w:rPr>
          <w:rFonts w:asciiTheme="minorHAnsi" w:eastAsiaTheme="minorEastAsia" w:hAnsi="Tw Cen MT" w:cstheme="minorBidi"/>
          <w:b/>
          <w:bCs/>
          <w:iCs/>
          <w:color w:val="000000"/>
          <w:sz w:val="28"/>
          <w:szCs w:val="28"/>
        </w:rPr>
      </w:pPr>
      <w:r w:rsidRPr="00C8101F">
        <w:rPr>
          <w:rFonts w:asciiTheme="minorHAnsi" w:eastAsiaTheme="minorEastAsia" w:hAnsi="Tw Cen MT" w:cstheme="minorBidi"/>
          <w:b/>
          <w:bCs/>
          <w:iCs/>
          <w:color w:val="000000"/>
          <w:sz w:val="28"/>
          <w:szCs w:val="28"/>
        </w:rPr>
        <w:t>Compound Verbs vs. Sufficiency</w:t>
      </w:r>
      <w:r>
        <w:rPr>
          <w:rFonts w:asciiTheme="minorHAnsi" w:eastAsiaTheme="minorEastAsia" w:hAnsi="Tw Cen MT" w:cstheme="minorBidi"/>
          <w:b/>
          <w:bCs/>
          <w:iCs/>
          <w:color w:val="000000"/>
          <w:sz w:val="28"/>
          <w:szCs w:val="28"/>
        </w:rPr>
        <w:t xml:space="preserve"> : </w:t>
      </w:r>
    </w:p>
    <w:p w:rsidR="00C8101F" w:rsidRDefault="00C8101F" w:rsidP="00C8101F">
      <w:pPr>
        <w:pStyle w:val="NormalWeb"/>
        <w:spacing w:before="0" w:beforeAutospacing="0" w:after="0" w:afterAutospacing="0"/>
        <w:jc w:val="center"/>
        <w:rPr>
          <w:rFonts w:asciiTheme="minorHAnsi" w:eastAsiaTheme="minorEastAsia" w:hAnsi="Tw Cen MT" w:cstheme="minorBidi"/>
          <w:b/>
          <w:bCs/>
          <w:iCs/>
          <w:color w:val="000000"/>
          <w:sz w:val="28"/>
          <w:szCs w:val="28"/>
        </w:rPr>
      </w:pPr>
    </w:p>
    <w:p w:rsidR="00C8101F" w:rsidRPr="00C8101F" w:rsidRDefault="00C8101F" w:rsidP="00C8101F">
      <w:pPr>
        <w:spacing w:line="288" w:lineRule="auto"/>
        <w:rPr>
          <w:i/>
          <w:color w:val="000000"/>
          <w:sz w:val="36"/>
        </w:rPr>
      </w:pPr>
      <w:r w:rsidRPr="00C8101F">
        <w:rPr>
          <w:rFonts w:eastAsiaTheme="minorEastAsia" w:hAnsi="Tw Cen MT"/>
          <w:i/>
          <w:kern w:val="24"/>
          <w:sz w:val="28"/>
          <w:szCs w:val="28"/>
        </w:rPr>
        <w:t>This activity is self-directed and is related to accurately assessing evidence against the sufficiency standard (the S in VARCS) on the Health Screener Diploma course</w:t>
      </w:r>
    </w:p>
    <w:p w:rsidR="00C8101F" w:rsidRPr="00C8101F" w:rsidRDefault="00C8101F" w:rsidP="00C8101F">
      <w:pPr>
        <w:pStyle w:val="NormalWeb"/>
        <w:spacing w:before="0" w:beforeAutospacing="0" w:after="0" w:afterAutospacing="0"/>
        <w:jc w:val="center"/>
        <w:rPr>
          <w:sz w:val="28"/>
          <w:szCs w:val="28"/>
        </w:rPr>
      </w:pPr>
    </w:p>
    <w:p w:rsidR="003D7C8E" w:rsidRDefault="00C8101F">
      <w:pPr>
        <w:rPr>
          <w:sz w:val="24"/>
          <w:szCs w:val="24"/>
        </w:rPr>
      </w:pPr>
      <w:r>
        <w:rPr>
          <w:sz w:val="24"/>
          <w:szCs w:val="24"/>
        </w:rPr>
        <w:t>This was the f</w:t>
      </w:r>
      <w:r w:rsidR="005D13E4">
        <w:rPr>
          <w:sz w:val="24"/>
          <w:szCs w:val="24"/>
        </w:rPr>
        <w:t>ir</w:t>
      </w:r>
      <w:r w:rsidR="00507EF6">
        <w:rPr>
          <w:sz w:val="24"/>
          <w:szCs w:val="24"/>
        </w:rPr>
        <w:t>st exercise of the year and its</w:t>
      </w:r>
      <w:r>
        <w:rPr>
          <w:sz w:val="24"/>
          <w:szCs w:val="24"/>
        </w:rPr>
        <w:t xml:space="preserve"> aim was to focus on the sufficiency standard of the VARCS tool. </w:t>
      </w:r>
    </w:p>
    <w:p w:rsidR="00C8101F" w:rsidRDefault="00C8101F">
      <w:pPr>
        <w:rPr>
          <w:sz w:val="24"/>
          <w:szCs w:val="24"/>
        </w:rPr>
      </w:pPr>
      <w:r>
        <w:rPr>
          <w:sz w:val="24"/>
          <w:szCs w:val="24"/>
        </w:rPr>
        <w:t>Trying to keep up with these exercises is quite hard when you do not currently have any students on a diploma course and this exercise was a nice opportunity to</w:t>
      </w:r>
      <w:bookmarkStart w:id="0" w:name="_GoBack"/>
      <w:bookmarkEnd w:id="0"/>
      <w:r>
        <w:rPr>
          <w:sz w:val="24"/>
          <w:szCs w:val="24"/>
        </w:rPr>
        <w:t xml:space="preserve"> go through principles such as the compound verbs and blooms taxonomy. This exercise really got me to test my previous skills in assessing work and it was a good opportunity to refresh my VARCS knowledge and apply it to pieces of evidence. There were quite a few pieces of evidence to work through and I quickly felt confident to say when something was not meeting the criteria but it was less easily to separate partially met criteria to fully met criteria. It was very interesting to work through the standard answers. </w:t>
      </w:r>
    </w:p>
    <w:p w:rsidR="00C8101F" w:rsidRDefault="00C8101F">
      <w:pPr>
        <w:rPr>
          <w:sz w:val="24"/>
          <w:szCs w:val="24"/>
        </w:rPr>
      </w:pPr>
      <w:r>
        <w:rPr>
          <w:sz w:val="24"/>
          <w:szCs w:val="24"/>
        </w:rPr>
        <w:t xml:space="preserve">In general, I feel that I answered tasks 1-4 sufficiently. I could have expanded in areas such as separating compound verbs into knowledge and performance criteria </w:t>
      </w:r>
      <w:r w:rsidR="005D13E4">
        <w:rPr>
          <w:sz w:val="24"/>
          <w:szCs w:val="24"/>
        </w:rPr>
        <w:t xml:space="preserve">and in task 3 I feel that I could have gone into a bit more detail as to why sufficiency is important. </w:t>
      </w:r>
    </w:p>
    <w:p w:rsidR="005D13E4" w:rsidRDefault="005D13E4">
      <w:pPr>
        <w:rPr>
          <w:sz w:val="24"/>
          <w:szCs w:val="24"/>
        </w:rPr>
      </w:pPr>
      <w:r>
        <w:rPr>
          <w:sz w:val="24"/>
          <w:szCs w:val="24"/>
        </w:rPr>
        <w:t xml:space="preserve">When reflecting whether the 10 pieces of </w:t>
      </w:r>
      <w:r w:rsidR="00665957">
        <w:rPr>
          <w:sz w:val="24"/>
          <w:szCs w:val="24"/>
        </w:rPr>
        <w:t>evidence meet the criteria, I was</w:t>
      </w:r>
      <w:r>
        <w:rPr>
          <w:sz w:val="24"/>
          <w:szCs w:val="24"/>
        </w:rPr>
        <w:t xml:space="preserve"> in full agreement with the standard response in 6 of the 10 evidence pieces. Of the other four, it appears the discrepancies appear to be between whether the criteria is not met and partially met and between partially met and fully met sufficiency.</w:t>
      </w:r>
      <w:r w:rsidR="00665957">
        <w:rPr>
          <w:sz w:val="24"/>
          <w:szCs w:val="24"/>
        </w:rPr>
        <w:t xml:space="preserve"> There was</w:t>
      </w:r>
      <w:r>
        <w:rPr>
          <w:sz w:val="24"/>
          <w:szCs w:val="24"/>
        </w:rPr>
        <w:t xml:space="preserve"> not an </w:t>
      </w:r>
      <w:r w:rsidR="00665957">
        <w:rPr>
          <w:sz w:val="24"/>
          <w:szCs w:val="24"/>
        </w:rPr>
        <w:t>instance where the standard said</w:t>
      </w:r>
      <w:r>
        <w:rPr>
          <w:sz w:val="24"/>
          <w:szCs w:val="24"/>
        </w:rPr>
        <w:t xml:space="preserve"> ‘not met’ and I’ve said ‘fully met’ and vice versa.  This filled me with confidence that I was not a million miles out. Sometimes the inconsistencies appear to be over the coverage of 80% of the unit guidance and I think sometimes I didn’t take this into account when concluding that the evidence did not provide enough detail. </w:t>
      </w:r>
      <w:r w:rsidR="00665957">
        <w:rPr>
          <w:sz w:val="24"/>
          <w:szCs w:val="24"/>
        </w:rPr>
        <w:t xml:space="preserve"> In fact in three cases, </w:t>
      </w:r>
      <w:r w:rsidR="00507EF6">
        <w:rPr>
          <w:sz w:val="24"/>
          <w:szCs w:val="24"/>
        </w:rPr>
        <w:t xml:space="preserve">it appears I have assessed more harshly and put a partial meet on evidence which has been deemed as fully met. Only on one occasion had I deemed something partially met that was felt to not meet sufficiency at all. </w:t>
      </w:r>
    </w:p>
    <w:p w:rsidR="00507EF6" w:rsidRDefault="00507EF6">
      <w:pPr>
        <w:rPr>
          <w:sz w:val="24"/>
          <w:szCs w:val="24"/>
        </w:rPr>
      </w:pPr>
      <w:r>
        <w:rPr>
          <w:sz w:val="24"/>
          <w:szCs w:val="24"/>
        </w:rPr>
        <w:t xml:space="preserve">This was an useful exercise and highlights that individual  interpretation of the guidelines can produce discrepancies and it has given me a chance to see where I can make adjustments to my assessing, in particular being mindful of the minimum content requirement for that particular unit. </w:t>
      </w:r>
    </w:p>
    <w:p w:rsidR="00665957" w:rsidRPr="00C8101F" w:rsidRDefault="00665957">
      <w:pPr>
        <w:rPr>
          <w:sz w:val="24"/>
          <w:szCs w:val="24"/>
        </w:rPr>
      </w:pPr>
      <w:r>
        <w:rPr>
          <w:rFonts w:ascii="Times New Roman" w:hAnsi="Times New Roman" w:cs="Times New Roman"/>
          <w:noProof/>
          <w:color w:val="548DD4"/>
          <w:sz w:val="24"/>
          <w:szCs w:val="24"/>
          <w:lang w:eastAsia="en-GB"/>
        </w:rPr>
        <w:lastRenderedPageBreak/>
        <w:drawing>
          <wp:inline distT="0" distB="0" distL="0" distR="0">
            <wp:extent cx="1270635" cy="487045"/>
            <wp:effectExtent l="0" t="0" r="5715" b="8255"/>
            <wp:docPr id="1" name="Picture 1" descr="cid:image001.png@01D4B891.4B9F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B891.4B9F80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270635" cy="487045"/>
                    </a:xfrm>
                    <a:prstGeom prst="rect">
                      <a:avLst/>
                    </a:prstGeom>
                    <a:noFill/>
                    <a:ln>
                      <a:noFill/>
                    </a:ln>
                  </pic:spPr>
                </pic:pic>
              </a:graphicData>
            </a:graphic>
          </wp:inline>
        </w:drawing>
      </w:r>
      <w:r>
        <w:rPr>
          <w:sz w:val="24"/>
          <w:szCs w:val="24"/>
        </w:rPr>
        <w:t xml:space="preserve"> 24.5.21</w:t>
      </w:r>
    </w:p>
    <w:sectPr w:rsidR="00665957" w:rsidRPr="00C810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D8638B"/>
    <w:multiLevelType w:val="hybridMultilevel"/>
    <w:tmpl w:val="0FC43C62"/>
    <w:lvl w:ilvl="0" w:tplc="EEDC0DAE">
      <w:start w:val="1"/>
      <w:numFmt w:val="bullet"/>
      <w:lvlText w:val="•"/>
      <w:lvlJc w:val="left"/>
      <w:pPr>
        <w:tabs>
          <w:tab w:val="num" w:pos="720"/>
        </w:tabs>
        <w:ind w:left="720" w:hanging="360"/>
      </w:pPr>
      <w:rPr>
        <w:rFonts w:ascii="Arial" w:hAnsi="Arial" w:hint="default"/>
      </w:rPr>
    </w:lvl>
    <w:lvl w:ilvl="1" w:tplc="46F23B1E" w:tentative="1">
      <w:start w:val="1"/>
      <w:numFmt w:val="bullet"/>
      <w:lvlText w:val="•"/>
      <w:lvlJc w:val="left"/>
      <w:pPr>
        <w:tabs>
          <w:tab w:val="num" w:pos="1440"/>
        </w:tabs>
        <w:ind w:left="1440" w:hanging="360"/>
      </w:pPr>
      <w:rPr>
        <w:rFonts w:ascii="Arial" w:hAnsi="Arial" w:hint="default"/>
      </w:rPr>
    </w:lvl>
    <w:lvl w:ilvl="2" w:tplc="40BCD680">
      <w:start w:val="1"/>
      <w:numFmt w:val="bullet"/>
      <w:lvlText w:val="•"/>
      <w:lvlJc w:val="left"/>
      <w:pPr>
        <w:tabs>
          <w:tab w:val="num" w:pos="2160"/>
        </w:tabs>
        <w:ind w:left="2160" w:hanging="360"/>
      </w:pPr>
      <w:rPr>
        <w:rFonts w:ascii="Arial" w:hAnsi="Arial" w:hint="default"/>
      </w:rPr>
    </w:lvl>
    <w:lvl w:ilvl="3" w:tplc="942273F6" w:tentative="1">
      <w:start w:val="1"/>
      <w:numFmt w:val="bullet"/>
      <w:lvlText w:val="•"/>
      <w:lvlJc w:val="left"/>
      <w:pPr>
        <w:tabs>
          <w:tab w:val="num" w:pos="2880"/>
        </w:tabs>
        <w:ind w:left="2880" w:hanging="360"/>
      </w:pPr>
      <w:rPr>
        <w:rFonts w:ascii="Arial" w:hAnsi="Arial" w:hint="default"/>
      </w:rPr>
    </w:lvl>
    <w:lvl w:ilvl="4" w:tplc="3ACC1774" w:tentative="1">
      <w:start w:val="1"/>
      <w:numFmt w:val="bullet"/>
      <w:lvlText w:val="•"/>
      <w:lvlJc w:val="left"/>
      <w:pPr>
        <w:tabs>
          <w:tab w:val="num" w:pos="3600"/>
        </w:tabs>
        <w:ind w:left="3600" w:hanging="360"/>
      </w:pPr>
      <w:rPr>
        <w:rFonts w:ascii="Arial" w:hAnsi="Arial" w:hint="default"/>
      </w:rPr>
    </w:lvl>
    <w:lvl w:ilvl="5" w:tplc="3386EBD2" w:tentative="1">
      <w:start w:val="1"/>
      <w:numFmt w:val="bullet"/>
      <w:lvlText w:val="•"/>
      <w:lvlJc w:val="left"/>
      <w:pPr>
        <w:tabs>
          <w:tab w:val="num" w:pos="4320"/>
        </w:tabs>
        <w:ind w:left="4320" w:hanging="360"/>
      </w:pPr>
      <w:rPr>
        <w:rFonts w:ascii="Arial" w:hAnsi="Arial" w:hint="default"/>
      </w:rPr>
    </w:lvl>
    <w:lvl w:ilvl="6" w:tplc="79C05EC4" w:tentative="1">
      <w:start w:val="1"/>
      <w:numFmt w:val="bullet"/>
      <w:lvlText w:val="•"/>
      <w:lvlJc w:val="left"/>
      <w:pPr>
        <w:tabs>
          <w:tab w:val="num" w:pos="5040"/>
        </w:tabs>
        <w:ind w:left="5040" w:hanging="360"/>
      </w:pPr>
      <w:rPr>
        <w:rFonts w:ascii="Arial" w:hAnsi="Arial" w:hint="default"/>
      </w:rPr>
    </w:lvl>
    <w:lvl w:ilvl="7" w:tplc="18306BE4" w:tentative="1">
      <w:start w:val="1"/>
      <w:numFmt w:val="bullet"/>
      <w:lvlText w:val="•"/>
      <w:lvlJc w:val="left"/>
      <w:pPr>
        <w:tabs>
          <w:tab w:val="num" w:pos="5760"/>
        </w:tabs>
        <w:ind w:left="5760" w:hanging="360"/>
      </w:pPr>
      <w:rPr>
        <w:rFonts w:ascii="Arial" w:hAnsi="Arial" w:hint="default"/>
      </w:rPr>
    </w:lvl>
    <w:lvl w:ilvl="8" w:tplc="72B611D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01F"/>
    <w:rsid w:val="003D5654"/>
    <w:rsid w:val="00507EF6"/>
    <w:rsid w:val="005D13E4"/>
    <w:rsid w:val="00665957"/>
    <w:rsid w:val="00B14427"/>
    <w:rsid w:val="00C81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0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01F"/>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6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9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10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8101F"/>
    <w:pPr>
      <w:spacing w:after="0" w:line="240" w:lineRule="auto"/>
      <w:ind w:left="720"/>
      <w:contextualSpacing/>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6659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9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924265">
      <w:bodyDiv w:val="1"/>
      <w:marLeft w:val="0"/>
      <w:marRight w:val="0"/>
      <w:marTop w:val="0"/>
      <w:marBottom w:val="0"/>
      <w:divBdr>
        <w:top w:val="none" w:sz="0" w:space="0" w:color="auto"/>
        <w:left w:val="none" w:sz="0" w:space="0" w:color="auto"/>
        <w:bottom w:val="none" w:sz="0" w:space="0" w:color="auto"/>
        <w:right w:val="none" w:sz="0" w:space="0" w:color="auto"/>
      </w:divBdr>
    </w:div>
    <w:div w:id="1408530852">
      <w:bodyDiv w:val="1"/>
      <w:marLeft w:val="0"/>
      <w:marRight w:val="0"/>
      <w:marTop w:val="0"/>
      <w:marBottom w:val="0"/>
      <w:divBdr>
        <w:top w:val="none" w:sz="0" w:space="0" w:color="auto"/>
        <w:left w:val="none" w:sz="0" w:space="0" w:color="auto"/>
        <w:bottom w:val="none" w:sz="0" w:space="0" w:color="auto"/>
        <w:right w:val="none" w:sz="0" w:space="0" w:color="auto"/>
      </w:divBdr>
      <w:divsChild>
        <w:div w:id="1548835121">
          <w:marLeft w:val="108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D75087.1602D3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380</Words>
  <Characters>2171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2546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Fearnside</dc:creator>
  <cp:lastModifiedBy>Louise Fearnside</cp:lastModifiedBy>
  <cp:revision>1</cp:revision>
  <dcterms:created xsi:type="dcterms:W3CDTF">2021-05-24T10:39:00Z</dcterms:created>
  <dcterms:modified xsi:type="dcterms:W3CDTF">2021-05-24T11:14:00Z</dcterms:modified>
</cp:coreProperties>
</file>