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E73766" w14:textId="6C46A780" w:rsidR="00CA2263" w:rsidRDefault="00CA2263"/>
    <w:p w14:paraId="7E4523E2" w14:textId="2F07DBDA" w:rsidR="00C52BA2" w:rsidRDefault="00C52BA2"/>
    <w:p w14:paraId="601B85E0" w14:textId="6A541FB4" w:rsidR="00C52BA2" w:rsidRPr="00302CE9" w:rsidRDefault="00C52BA2">
      <w:pPr>
        <w:rPr>
          <w:b/>
        </w:rPr>
      </w:pPr>
      <w:r w:rsidRPr="00302CE9">
        <w:rPr>
          <w:b/>
        </w:rPr>
        <w:t xml:space="preserve">The </w:t>
      </w:r>
      <w:proofErr w:type="spellStart"/>
      <w:r w:rsidRPr="00302CE9">
        <w:rPr>
          <w:b/>
        </w:rPr>
        <w:t>Repeatabiity</w:t>
      </w:r>
      <w:proofErr w:type="spellEnd"/>
      <w:r w:rsidRPr="00302CE9">
        <w:rPr>
          <w:b/>
        </w:rPr>
        <w:t xml:space="preserve"> of AVF </w:t>
      </w:r>
      <w:r w:rsidR="00741DBF" w:rsidRPr="00302CE9">
        <w:rPr>
          <w:b/>
        </w:rPr>
        <w:t>M</w:t>
      </w:r>
      <w:r w:rsidRPr="00302CE9">
        <w:rPr>
          <w:b/>
        </w:rPr>
        <w:t xml:space="preserve">ean </w:t>
      </w:r>
      <w:r w:rsidR="002E3210" w:rsidRPr="00302CE9">
        <w:rPr>
          <w:b/>
        </w:rPr>
        <w:t>B</w:t>
      </w:r>
      <w:r w:rsidRPr="00302CE9">
        <w:rPr>
          <w:b/>
        </w:rPr>
        <w:t>lood</w:t>
      </w:r>
      <w:r w:rsidR="00436ED4" w:rsidRPr="00302CE9">
        <w:rPr>
          <w:b/>
        </w:rPr>
        <w:t xml:space="preserve"> F</w:t>
      </w:r>
      <w:r w:rsidRPr="00302CE9">
        <w:rPr>
          <w:b/>
        </w:rPr>
        <w:t xml:space="preserve">low in </w:t>
      </w:r>
      <w:r w:rsidR="002E3210" w:rsidRPr="00302CE9">
        <w:rPr>
          <w:b/>
        </w:rPr>
        <w:t>T</w:t>
      </w:r>
      <w:r w:rsidRPr="00302CE9">
        <w:rPr>
          <w:b/>
        </w:rPr>
        <w:t xml:space="preserve">emperate and </w:t>
      </w:r>
      <w:r w:rsidR="002E3210" w:rsidRPr="00302CE9">
        <w:rPr>
          <w:b/>
        </w:rPr>
        <w:t>S</w:t>
      </w:r>
      <w:r w:rsidRPr="00302CE9">
        <w:rPr>
          <w:b/>
        </w:rPr>
        <w:t xml:space="preserve">ub Saharan </w:t>
      </w:r>
      <w:r w:rsidR="00F32767" w:rsidRPr="00302CE9">
        <w:rPr>
          <w:b/>
        </w:rPr>
        <w:t>E</w:t>
      </w:r>
      <w:r w:rsidRPr="00302CE9">
        <w:rPr>
          <w:b/>
        </w:rPr>
        <w:t>nvironments</w:t>
      </w:r>
    </w:p>
    <w:p w14:paraId="323B4AB9" w14:textId="7FA01B1A" w:rsidR="00C52BA2" w:rsidRPr="007F14C4" w:rsidRDefault="004F6D2B">
      <w:pPr>
        <w:rPr>
          <w:b/>
        </w:rPr>
      </w:pPr>
      <w:r>
        <w:t xml:space="preserve">David H King </w:t>
      </w:r>
      <w:r w:rsidRPr="004F6D2B">
        <w:rPr>
          <w:b/>
          <w:sz w:val="28"/>
          <w:szCs w:val="28"/>
        </w:rPr>
        <w:t>*</w:t>
      </w:r>
      <w:r w:rsidR="00654C00" w:rsidRPr="00654C00">
        <w:rPr>
          <w:vertAlign w:val="superscript"/>
        </w:rPr>
        <w:t>#</w:t>
      </w:r>
      <w:r>
        <w:t xml:space="preserve">, Graeme </w:t>
      </w:r>
      <w:proofErr w:type="gramStart"/>
      <w:r>
        <w:t xml:space="preserve">Taylor </w:t>
      </w:r>
      <w:r w:rsidR="00D84ECF">
        <w:t>,</w:t>
      </w:r>
      <w:proofErr w:type="gramEnd"/>
      <w:r w:rsidR="00D84ECF">
        <w:t xml:space="preserve"> </w:t>
      </w:r>
      <w:r w:rsidR="00436ED4">
        <w:t>PhD</w:t>
      </w:r>
      <w:r w:rsidR="00654C00">
        <w:rPr>
          <w:vertAlign w:val="superscript"/>
        </w:rPr>
        <w:t>*</w:t>
      </w:r>
      <w:r w:rsidR="00436ED4">
        <w:t xml:space="preserve">, Mo Al </w:t>
      </w:r>
      <w:proofErr w:type="spellStart"/>
      <w:r w:rsidR="00436ED4">
        <w:t>Qaisi</w:t>
      </w:r>
      <w:proofErr w:type="spellEnd"/>
      <w:r w:rsidR="00436ED4">
        <w:t>, MD</w:t>
      </w:r>
      <w:r w:rsidR="00654C00" w:rsidRPr="00654C00">
        <w:rPr>
          <w:vertAlign w:val="superscript"/>
        </w:rPr>
        <w:t>#</w:t>
      </w:r>
      <w:r w:rsidR="000020D4">
        <w:t xml:space="preserve"> , </w:t>
      </w:r>
      <w:proofErr w:type="spellStart"/>
      <w:r w:rsidR="000020D4">
        <w:t>Sumith</w:t>
      </w:r>
      <w:proofErr w:type="spellEnd"/>
      <w:r w:rsidR="000020D4">
        <w:t xml:space="preserve"> C </w:t>
      </w:r>
      <w:proofErr w:type="spellStart"/>
      <w:r w:rsidR="000020D4">
        <w:t>Abeygunas</w:t>
      </w:r>
      <w:r w:rsidR="00654C00">
        <w:t>ekara</w:t>
      </w:r>
      <w:proofErr w:type="spellEnd"/>
      <w:r w:rsidR="00654C00">
        <w:t>, MD</w:t>
      </w:r>
      <w:r w:rsidR="00654C00" w:rsidRPr="00654C00">
        <w:rPr>
          <w:vertAlign w:val="superscript"/>
        </w:rPr>
        <w:t>#</w:t>
      </w:r>
      <w:r w:rsidR="00654C00">
        <w:t xml:space="preserve"> and </w:t>
      </w:r>
      <w:proofErr w:type="spellStart"/>
      <w:r w:rsidR="00654C00">
        <w:t>Abdelgalil</w:t>
      </w:r>
      <w:proofErr w:type="spellEnd"/>
      <w:r w:rsidR="00654C00">
        <w:t xml:space="preserve"> A </w:t>
      </w:r>
      <w:proofErr w:type="spellStart"/>
      <w:r w:rsidR="00654C00">
        <w:t>ali</w:t>
      </w:r>
      <w:proofErr w:type="spellEnd"/>
      <w:r w:rsidR="00654C00">
        <w:t>, MD</w:t>
      </w:r>
      <w:r w:rsidR="00654C00" w:rsidRPr="00654C00">
        <w:rPr>
          <w:vertAlign w:val="superscript"/>
        </w:rPr>
        <w:t>#</w:t>
      </w:r>
      <w:r w:rsidR="00151BE9">
        <w:rPr>
          <w:vertAlign w:val="superscript"/>
        </w:rPr>
        <w:t xml:space="preserve"> </w:t>
      </w:r>
      <w:r w:rsidR="00151BE9">
        <w:t>. Broomfield Hospital, Chelmsford, Essex, UK</w:t>
      </w:r>
      <w:proofErr w:type="gramStart"/>
      <w:r w:rsidR="00151BE9" w:rsidRPr="00151BE9">
        <w:rPr>
          <w:vertAlign w:val="superscript"/>
        </w:rPr>
        <w:t>#</w:t>
      </w:r>
      <w:r w:rsidR="007F14C4">
        <w:rPr>
          <w:vertAlign w:val="superscript"/>
        </w:rPr>
        <w:t xml:space="preserve"> </w:t>
      </w:r>
      <w:r w:rsidR="007F14C4">
        <w:t>,</w:t>
      </w:r>
      <w:proofErr w:type="gramEnd"/>
      <w:r w:rsidR="007F14C4">
        <w:t xml:space="preserve"> Kings College Hospital, London, UK</w:t>
      </w:r>
      <w:r w:rsidR="007F14C4" w:rsidRPr="007F14C4">
        <w:rPr>
          <w:vertAlign w:val="superscript"/>
        </w:rPr>
        <w:t>*</w:t>
      </w:r>
    </w:p>
    <w:p w14:paraId="39EB7D54" w14:textId="3BF87DB8" w:rsidR="007F14C4" w:rsidRDefault="00C52BA2">
      <w:pPr>
        <w:rPr>
          <w:rFonts w:cstheme="minorHAnsi"/>
        </w:rPr>
      </w:pPr>
      <w:r w:rsidRPr="00302CE9">
        <w:rPr>
          <w:b/>
        </w:rPr>
        <w:t>Background:</w:t>
      </w:r>
      <w:r>
        <w:t xml:space="preserve"> We have previously demonstrated a 70% difference between Dialysis AVF blood flow in the UK and Sudan, the Sudan mean being greater than the U</w:t>
      </w:r>
      <w:r w:rsidR="00012ED8">
        <w:t>K</w:t>
      </w:r>
      <w:r>
        <w:t xml:space="preserve"> mean</w:t>
      </w:r>
      <w:r w:rsidR="00EB7DA9">
        <w:t xml:space="preserve"> </w:t>
      </w:r>
      <w:r w:rsidR="00745390" w:rsidRPr="00745390">
        <w:rPr>
          <w:vertAlign w:val="superscript"/>
        </w:rPr>
        <w:t>(</w:t>
      </w:r>
      <w:r w:rsidR="00EB7DA9" w:rsidRPr="00EB7DA9">
        <w:rPr>
          <w:vertAlign w:val="superscript"/>
        </w:rPr>
        <w:t>1</w:t>
      </w:r>
      <w:r w:rsidR="00745390">
        <w:rPr>
          <w:vertAlign w:val="superscript"/>
        </w:rPr>
        <w:t>)</w:t>
      </w:r>
      <w:r>
        <w:t>.</w:t>
      </w:r>
      <w:r w:rsidR="00EB7DA9">
        <w:t xml:space="preserve"> </w:t>
      </w:r>
      <w:r w:rsidR="00EE21B1">
        <w:t xml:space="preserve">The study has recently been extended </w:t>
      </w:r>
      <w:proofErr w:type="gramStart"/>
      <w:r w:rsidR="00EE21B1">
        <w:t>to  4</w:t>
      </w:r>
      <w:proofErr w:type="gramEnd"/>
      <w:r w:rsidR="00EE21B1">
        <w:t xml:space="preserve"> renal centres in Sudan.. </w:t>
      </w:r>
      <w:r w:rsidR="00EB7DA9">
        <w:t xml:space="preserve">A recent 7 centre study in the USA has published the mean AVF blood flow at </w:t>
      </w:r>
      <w:r w:rsidR="003D3523">
        <w:t>6</w:t>
      </w:r>
      <w:r w:rsidR="00EB7DA9">
        <w:t xml:space="preserve"> weeks maturation</w:t>
      </w:r>
      <w:r w:rsidR="00745390">
        <w:t xml:space="preserve"> </w:t>
      </w:r>
      <w:r w:rsidR="00745390" w:rsidRPr="00745390">
        <w:rPr>
          <w:vertAlign w:val="superscript"/>
        </w:rPr>
        <w:t>(</w:t>
      </w:r>
      <w:r w:rsidR="00EE21B1" w:rsidRPr="00EE21B1">
        <w:rPr>
          <w:vertAlign w:val="superscript"/>
        </w:rPr>
        <w:t>2</w:t>
      </w:r>
      <w:proofErr w:type="gramStart"/>
      <w:r w:rsidR="00745390">
        <w:rPr>
          <w:vertAlign w:val="superscript"/>
        </w:rPr>
        <w:t>)</w:t>
      </w:r>
      <w:r w:rsidR="00EB7DA9">
        <w:rPr>
          <w:vertAlign w:val="superscript"/>
        </w:rPr>
        <w:t>,</w:t>
      </w:r>
      <w:r>
        <w:t>.</w:t>
      </w:r>
      <w:proofErr w:type="gramEnd"/>
      <w:r w:rsidR="00BC2B6C">
        <w:t xml:space="preserve"> </w:t>
      </w:r>
      <w:r w:rsidR="00EE21B1">
        <w:t xml:space="preserve">We have characterised UK and USA environments as temperate and </w:t>
      </w:r>
      <w:r w:rsidR="00F22E71">
        <w:t xml:space="preserve">the </w:t>
      </w:r>
      <w:r w:rsidR="00EE21B1">
        <w:t>Sudan environment as sub Saharan</w:t>
      </w:r>
      <w:r w:rsidR="005B580C">
        <w:rPr>
          <w:rFonts w:cstheme="minorHAnsi"/>
        </w:rPr>
        <w:t>.</w:t>
      </w:r>
    </w:p>
    <w:p w14:paraId="2AA0525E" w14:textId="5C2E531F" w:rsidR="005B580C" w:rsidRPr="00D33CB6" w:rsidRDefault="005B580C">
      <w:pPr>
        <w:rPr>
          <w:rFonts w:cstheme="minorHAnsi"/>
        </w:rPr>
      </w:pPr>
      <w:r w:rsidRPr="007F14C4">
        <w:rPr>
          <w:b/>
        </w:rPr>
        <w:t>Methods:</w:t>
      </w:r>
      <w:r>
        <w:t xml:space="preserve"> AVF blood flow was measured with a Duplex device in all centres. </w:t>
      </w:r>
      <w:r w:rsidR="002637A4">
        <w:t>Clinical indications were used in the USA</w:t>
      </w:r>
      <w:r w:rsidR="00A32E4A">
        <w:t xml:space="preserve"> study to eliminate failing or failed AVF from the study of mature fistulae</w:t>
      </w:r>
      <w:proofErr w:type="gramStart"/>
      <w:r w:rsidR="00A32E4A">
        <w:t>.</w:t>
      </w:r>
      <w:r w:rsidR="00745390" w:rsidRPr="00745390">
        <w:t xml:space="preserve"> </w:t>
      </w:r>
      <w:r w:rsidR="00745390">
        <w:t>.</w:t>
      </w:r>
      <w:proofErr w:type="gramEnd"/>
      <w:r w:rsidR="00745390">
        <w:t xml:space="preserve"> </w:t>
      </w:r>
      <w:r w:rsidR="00436ED4">
        <w:t>T</w:t>
      </w:r>
      <w:r w:rsidR="00745390">
        <w:t xml:space="preserve">he incidence of failing AVF in each cohort in the UK and Sudan was studied using a new device </w:t>
      </w:r>
      <w:proofErr w:type="spellStart"/>
      <w:r w:rsidR="00745390">
        <w:t>Bluedop</w:t>
      </w:r>
      <w:proofErr w:type="spellEnd"/>
      <w:r w:rsidR="00745390">
        <w:t xml:space="preserve"> </w:t>
      </w:r>
      <w:r w:rsidR="00745390">
        <w:rPr>
          <w:rFonts w:cstheme="minorHAnsi"/>
        </w:rPr>
        <w:t>™</w:t>
      </w:r>
      <w:r w:rsidR="00745390">
        <w:rPr>
          <w:rFonts w:cstheme="minorHAnsi"/>
        </w:rPr>
        <w:t xml:space="preserve"> </w:t>
      </w:r>
      <w:r w:rsidR="00745390" w:rsidRPr="00CD4EF5">
        <w:rPr>
          <w:rFonts w:cstheme="minorHAnsi"/>
          <w:vertAlign w:val="superscript"/>
        </w:rPr>
        <w:t>(</w:t>
      </w:r>
      <w:r w:rsidR="00873E14">
        <w:rPr>
          <w:rFonts w:cstheme="minorHAnsi"/>
          <w:vertAlign w:val="superscript"/>
        </w:rPr>
        <w:t>1</w:t>
      </w:r>
      <w:bookmarkStart w:id="0" w:name="_GoBack"/>
      <w:bookmarkEnd w:id="0"/>
      <w:r w:rsidR="00745390" w:rsidRPr="00CD4EF5">
        <w:rPr>
          <w:rFonts w:cstheme="minorHAnsi"/>
          <w:vertAlign w:val="superscript"/>
        </w:rPr>
        <w:t>)</w:t>
      </w:r>
    </w:p>
    <w:p w14:paraId="6F8A6E87" w14:textId="680FA968" w:rsidR="001D180E" w:rsidRDefault="001D180E">
      <w:r w:rsidRPr="007F14C4">
        <w:rPr>
          <w:b/>
        </w:rPr>
        <w:t>Results:</w:t>
      </w:r>
      <w:r>
        <w:t xml:space="preserve"> </w:t>
      </w:r>
      <w:r w:rsidR="00436ED4">
        <w:t>The results are tabulated below. Additional data was recorded including patient Age, Gender and AVF location.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7"/>
        <w:gridCol w:w="1189"/>
        <w:gridCol w:w="1360"/>
        <w:gridCol w:w="1206"/>
        <w:gridCol w:w="1231"/>
        <w:gridCol w:w="1211"/>
      </w:tblGrid>
      <w:tr w:rsidR="000C16C0" w14:paraId="298B82EB" w14:textId="77777777" w:rsidTr="00EE21B1">
        <w:tc>
          <w:tcPr>
            <w:tcW w:w="1457" w:type="dxa"/>
          </w:tcPr>
          <w:p w14:paraId="53DA53D4" w14:textId="13EE0752" w:rsidR="000C16C0" w:rsidRDefault="000C16C0">
            <w:r>
              <w:t>Means/Ratios</w:t>
            </w:r>
          </w:p>
        </w:tc>
        <w:tc>
          <w:tcPr>
            <w:tcW w:w="1189" w:type="dxa"/>
          </w:tcPr>
          <w:p w14:paraId="79CEC819" w14:textId="19BF3D51" w:rsidR="000C16C0" w:rsidRDefault="000C16C0">
            <w:r>
              <w:t>Age</w:t>
            </w:r>
            <w:r w:rsidR="005444AC">
              <w:t xml:space="preserve"> </w:t>
            </w:r>
            <w:r w:rsidR="005444AC">
              <w:rPr>
                <w:rFonts w:cstheme="minorHAnsi"/>
              </w:rPr>
              <w:t>±</w:t>
            </w:r>
            <w:r w:rsidR="005444AC">
              <w:t xml:space="preserve"> 1sd</w:t>
            </w:r>
          </w:p>
        </w:tc>
        <w:tc>
          <w:tcPr>
            <w:tcW w:w="1360" w:type="dxa"/>
          </w:tcPr>
          <w:p w14:paraId="0CDF705B" w14:textId="1704E963" w:rsidR="000C16C0" w:rsidRDefault="000C16C0">
            <w:r>
              <w:t>female/male</w:t>
            </w:r>
          </w:p>
        </w:tc>
        <w:tc>
          <w:tcPr>
            <w:tcW w:w="1206" w:type="dxa"/>
          </w:tcPr>
          <w:p w14:paraId="7C3C96F5" w14:textId="242AD017" w:rsidR="000C16C0" w:rsidRDefault="000C16C0">
            <w:r>
              <w:t xml:space="preserve">forearm </w:t>
            </w:r>
          </w:p>
        </w:tc>
        <w:tc>
          <w:tcPr>
            <w:tcW w:w="1231" w:type="dxa"/>
          </w:tcPr>
          <w:p w14:paraId="3B7830B6" w14:textId="0CD5502C" w:rsidR="000C16C0" w:rsidRDefault="000C16C0">
            <w:proofErr w:type="spellStart"/>
            <w:r>
              <w:t>avf</w:t>
            </w:r>
            <w:proofErr w:type="spellEnd"/>
            <w:r>
              <w:t xml:space="preserve"> flow+/-</w:t>
            </w:r>
          </w:p>
        </w:tc>
        <w:tc>
          <w:tcPr>
            <w:tcW w:w="1211" w:type="dxa"/>
          </w:tcPr>
          <w:p w14:paraId="0CF18BC3" w14:textId="2C351124" w:rsidR="000C16C0" w:rsidRDefault="000C16C0">
            <w:r>
              <w:t>n</w:t>
            </w:r>
          </w:p>
        </w:tc>
      </w:tr>
      <w:tr w:rsidR="000C16C0" w14:paraId="3803C693" w14:textId="77777777" w:rsidTr="00EE21B1">
        <w:tc>
          <w:tcPr>
            <w:tcW w:w="1457" w:type="dxa"/>
          </w:tcPr>
          <w:p w14:paraId="682A4B5C" w14:textId="337C22B0" w:rsidR="000C16C0" w:rsidRDefault="000C16C0">
            <w:r>
              <w:t>Sudan 1 &amp; 2</w:t>
            </w:r>
          </w:p>
        </w:tc>
        <w:tc>
          <w:tcPr>
            <w:tcW w:w="1189" w:type="dxa"/>
          </w:tcPr>
          <w:p w14:paraId="3999E808" w14:textId="77777777" w:rsidR="000C16C0" w:rsidRDefault="000C16C0"/>
        </w:tc>
        <w:tc>
          <w:tcPr>
            <w:tcW w:w="1360" w:type="dxa"/>
          </w:tcPr>
          <w:p w14:paraId="60674C0D" w14:textId="77777777" w:rsidR="000C16C0" w:rsidRDefault="000C16C0"/>
        </w:tc>
        <w:tc>
          <w:tcPr>
            <w:tcW w:w="1206" w:type="dxa"/>
          </w:tcPr>
          <w:p w14:paraId="4E201E85" w14:textId="77777777" w:rsidR="000C16C0" w:rsidRDefault="000C16C0"/>
        </w:tc>
        <w:tc>
          <w:tcPr>
            <w:tcW w:w="1231" w:type="dxa"/>
          </w:tcPr>
          <w:p w14:paraId="413FC3E3" w14:textId="721E6955" w:rsidR="000C16C0" w:rsidRDefault="000C16C0">
            <w:r>
              <w:t xml:space="preserve">1797 </w:t>
            </w:r>
            <w:r>
              <w:rPr>
                <w:rFonts w:cstheme="minorHAnsi"/>
              </w:rPr>
              <w:t xml:space="preserve">± </w:t>
            </w:r>
            <w:r>
              <w:t>843</w:t>
            </w:r>
          </w:p>
        </w:tc>
        <w:tc>
          <w:tcPr>
            <w:tcW w:w="1211" w:type="dxa"/>
          </w:tcPr>
          <w:p w14:paraId="464AA0B3" w14:textId="5B22B14A" w:rsidR="000C16C0" w:rsidRDefault="000C16C0">
            <w:r>
              <w:t>45</w:t>
            </w:r>
          </w:p>
        </w:tc>
      </w:tr>
      <w:tr w:rsidR="000C16C0" w14:paraId="79FC8505" w14:textId="77777777" w:rsidTr="00EE21B1">
        <w:tc>
          <w:tcPr>
            <w:tcW w:w="1457" w:type="dxa"/>
          </w:tcPr>
          <w:p w14:paraId="03E5BD30" w14:textId="2E824493" w:rsidR="000C16C0" w:rsidRDefault="000C16C0">
            <w:r>
              <w:t>Sudan 3 &amp; 4</w:t>
            </w:r>
          </w:p>
        </w:tc>
        <w:tc>
          <w:tcPr>
            <w:tcW w:w="1189" w:type="dxa"/>
          </w:tcPr>
          <w:p w14:paraId="1F978E5D" w14:textId="05856915" w:rsidR="000C16C0" w:rsidRDefault="00032041">
            <w:r>
              <w:t xml:space="preserve">47 </w:t>
            </w:r>
            <w:r>
              <w:rPr>
                <w:rFonts w:cstheme="minorHAnsi"/>
              </w:rPr>
              <w:t>±</w:t>
            </w:r>
            <w:r>
              <w:t>14.6</w:t>
            </w:r>
          </w:p>
        </w:tc>
        <w:tc>
          <w:tcPr>
            <w:tcW w:w="1360" w:type="dxa"/>
          </w:tcPr>
          <w:p w14:paraId="143D5AE8" w14:textId="0389E288" w:rsidR="000C16C0" w:rsidRDefault="00032041">
            <w:r>
              <w:t>32.3</w:t>
            </w:r>
            <w:r w:rsidR="0054301E">
              <w:t xml:space="preserve"> %</w:t>
            </w:r>
          </w:p>
        </w:tc>
        <w:tc>
          <w:tcPr>
            <w:tcW w:w="1206" w:type="dxa"/>
          </w:tcPr>
          <w:p w14:paraId="5EA9B263" w14:textId="4E18CA82" w:rsidR="000C16C0" w:rsidRDefault="000C16C0">
            <w:r>
              <w:t>35.4 %</w:t>
            </w:r>
          </w:p>
        </w:tc>
        <w:tc>
          <w:tcPr>
            <w:tcW w:w="1231" w:type="dxa"/>
          </w:tcPr>
          <w:p w14:paraId="2F2D5CF4" w14:textId="2FF86ECD" w:rsidR="000C16C0" w:rsidRDefault="000C16C0">
            <w:r>
              <w:t xml:space="preserve">1614 </w:t>
            </w:r>
            <w:r>
              <w:rPr>
                <w:rFonts w:cstheme="minorHAnsi"/>
              </w:rPr>
              <w:t>±</w:t>
            </w:r>
            <w:r>
              <w:t>699</w:t>
            </w:r>
          </w:p>
        </w:tc>
        <w:tc>
          <w:tcPr>
            <w:tcW w:w="1211" w:type="dxa"/>
          </w:tcPr>
          <w:p w14:paraId="7A53C013" w14:textId="15C38369" w:rsidR="000C16C0" w:rsidRDefault="000C16C0">
            <w:r>
              <w:t>66</w:t>
            </w:r>
          </w:p>
        </w:tc>
      </w:tr>
      <w:tr w:rsidR="000C16C0" w14:paraId="0EA901DF" w14:textId="77777777" w:rsidTr="00EE21B1">
        <w:tc>
          <w:tcPr>
            <w:tcW w:w="1457" w:type="dxa"/>
          </w:tcPr>
          <w:p w14:paraId="67881536" w14:textId="5044BBCD" w:rsidR="000C16C0" w:rsidRDefault="000C16C0">
            <w:r>
              <w:t>UK 1 &amp;2 &amp; 3</w:t>
            </w:r>
          </w:p>
        </w:tc>
        <w:tc>
          <w:tcPr>
            <w:tcW w:w="1189" w:type="dxa"/>
          </w:tcPr>
          <w:p w14:paraId="6AA2B752" w14:textId="61866644" w:rsidR="000C16C0" w:rsidRDefault="000C16C0">
            <w:r>
              <w:t xml:space="preserve">66 </w:t>
            </w:r>
            <w:r>
              <w:rPr>
                <w:rFonts w:cstheme="minorHAnsi"/>
              </w:rPr>
              <w:t>±</w:t>
            </w:r>
            <w:r>
              <w:t>13.3</w:t>
            </w:r>
          </w:p>
        </w:tc>
        <w:tc>
          <w:tcPr>
            <w:tcW w:w="1360" w:type="dxa"/>
          </w:tcPr>
          <w:p w14:paraId="7F5FA48B" w14:textId="75E4258C" w:rsidR="000C16C0" w:rsidRDefault="00032041">
            <w:r>
              <w:t>42.1 %</w:t>
            </w:r>
          </w:p>
        </w:tc>
        <w:tc>
          <w:tcPr>
            <w:tcW w:w="1206" w:type="dxa"/>
          </w:tcPr>
          <w:p w14:paraId="76DEA3B8" w14:textId="77777777" w:rsidR="000C16C0" w:rsidRDefault="000C16C0"/>
        </w:tc>
        <w:tc>
          <w:tcPr>
            <w:tcW w:w="1231" w:type="dxa"/>
          </w:tcPr>
          <w:p w14:paraId="563BBCA2" w14:textId="4AA2C201" w:rsidR="000C16C0" w:rsidRDefault="000C16C0">
            <w:r>
              <w:t xml:space="preserve">1062 </w:t>
            </w:r>
            <w:r>
              <w:rPr>
                <w:rFonts w:cstheme="minorHAnsi"/>
              </w:rPr>
              <w:t>±</w:t>
            </w:r>
            <w:r>
              <w:t>543</w:t>
            </w:r>
          </w:p>
        </w:tc>
        <w:tc>
          <w:tcPr>
            <w:tcW w:w="1211" w:type="dxa"/>
          </w:tcPr>
          <w:p w14:paraId="4CC0772E" w14:textId="3E024A3D" w:rsidR="000C16C0" w:rsidRDefault="000C16C0">
            <w:r>
              <w:t>58</w:t>
            </w:r>
          </w:p>
        </w:tc>
      </w:tr>
      <w:tr w:rsidR="000C16C0" w14:paraId="1E2B51A9" w14:textId="77777777" w:rsidTr="00EE21B1">
        <w:tc>
          <w:tcPr>
            <w:tcW w:w="1457" w:type="dxa"/>
          </w:tcPr>
          <w:p w14:paraId="04B9798B" w14:textId="74798639" w:rsidR="000C16C0" w:rsidRDefault="000C16C0">
            <w:r>
              <w:t>USA 1 to 7</w:t>
            </w:r>
          </w:p>
        </w:tc>
        <w:tc>
          <w:tcPr>
            <w:tcW w:w="1189" w:type="dxa"/>
          </w:tcPr>
          <w:p w14:paraId="5A787F71" w14:textId="39D6A4E8" w:rsidR="000C16C0" w:rsidRDefault="000C16C0">
            <w:r>
              <w:t xml:space="preserve">55 </w:t>
            </w:r>
            <w:r>
              <w:rPr>
                <w:rFonts w:cstheme="minorHAnsi"/>
              </w:rPr>
              <w:t>±</w:t>
            </w:r>
            <w:r>
              <w:t>13.8</w:t>
            </w:r>
          </w:p>
        </w:tc>
        <w:tc>
          <w:tcPr>
            <w:tcW w:w="1360" w:type="dxa"/>
          </w:tcPr>
          <w:p w14:paraId="5BBE09DC" w14:textId="0BE57DBF" w:rsidR="000C16C0" w:rsidRDefault="000C16C0">
            <w:r>
              <w:t>28.5 %</w:t>
            </w:r>
          </w:p>
        </w:tc>
        <w:tc>
          <w:tcPr>
            <w:tcW w:w="1206" w:type="dxa"/>
          </w:tcPr>
          <w:p w14:paraId="563B8B27" w14:textId="1EB0B959" w:rsidR="000C16C0" w:rsidRDefault="000C16C0">
            <w:r>
              <w:t>21.4 %</w:t>
            </w:r>
          </w:p>
        </w:tc>
        <w:tc>
          <w:tcPr>
            <w:tcW w:w="1231" w:type="dxa"/>
          </w:tcPr>
          <w:p w14:paraId="45564829" w14:textId="2C60B64A" w:rsidR="000C16C0" w:rsidRDefault="000C16C0">
            <w:r>
              <w:t xml:space="preserve">1031 </w:t>
            </w:r>
            <w:r>
              <w:rPr>
                <w:rFonts w:cstheme="minorHAnsi"/>
              </w:rPr>
              <w:t>±</w:t>
            </w:r>
            <w:r>
              <w:t>613</w:t>
            </w:r>
          </w:p>
        </w:tc>
        <w:tc>
          <w:tcPr>
            <w:tcW w:w="1211" w:type="dxa"/>
          </w:tcPr>
          <w:p w14:paraId="1A1B2370" w14:textId="16A0F119" w:rsidR="000C16C0" w:rsidRDefault="000C16C0">
            <w:r>
              <w:t>430</w:t>
            </w:r>
          </w:p>
        </w:tc>
      </w:tr>
    </w:tbl>
    <w:p w14:paraId="0D64A703" w14:textId="77777777" w:rsidR="0054301E" w:rsidRDefault="0054301E" w:rsidP="00EE21B1"/>
    <w:p w14:paraId="57F366B9" w14:textId="4136258C" w:rsidR="00401EF1" w:rsidRDefault="00801570" w:rsidP="00EE21B1">
      <w:r w:rsidRPr="007F14C4">
        <w:rPr>
          <w:b/>
        </w:rPr>
        <w:t>Conclusion:</w:t>
      </w:r>
      <w:r>
        <w:t xml:space="preserve"> </w:t>
      </w:r>
      <w:r w:rsidR="00EE21B1">
        <w:t xml:space="preserve">A number of explanations </w:t>
      </w:r>
      <w:r>
        <w:t xml:space="preserve">for the elevated Sub Saharan mean Blood Flow results </w:t>
      </w:r>
      <w:r w:rsidR="00EE21B1">
        <w:t xml:space="preserve">have </w:t>
      </w:r>
      <w:proofErr w:type="gramStart"/>
      <w:r w:rsidR="00EE21B1">
        <w:t>explored ,</w:t>
      </w:r>
      <w:proofErr w:type="gramEnd"/>
      <w:r w:rsidR="00EE21B1">
        <w:t xml:space="preserve"> however mean annual temperature appears to be a possible cause</w:t>
      </w:r>
      <w:r w:rsidR="0022755B">
        <w:t>, Published values for minimal seasonal ambient temperatures show Khartoum is approximately 14 degrees C</w:t>
      </w:r>
      <w:r w:rsidR="00657157">
        <w:t xml:space="preserve"> </w:t>
      </w:r>
      <w:r w:rsidR="00745390">
        <w:t>warmer</w:t>
      </w:r>
      <w:r w:rsidR="00657157">
        <w:t xml:space="preserve"> than London </w:t>
      </w:r>
      <w:proofErr w:type="spellStart"/>
      <w:r w:rsidR="00363CF4">
        <w:t>thougho</w:t>
      </w:r>
      <w:r w:rsidR="00202655">
        <w:t>ut</w:t>
      </w:r>
      <w:proofErr w:type="spellEnd"/>
      <w:r w:rsidR="00363CF4">
        <w:t xml:space="preserve"> the </w:t>
      </w:r>
      <w:proofErr w:type="spellStart"/>
      <w:r w:rsidR="00363CF4">
        <w:t>year.</w:t>
      </w:r>
      <w:r w:rsidR="00745390">
        <w:t>USA</w:t>
      </w:r>
      <w:proofErr w:type="spellEnd"/>
      <w:r w:rsidR="00745390">
        <w:t xml:space="preserve"> ambient temperatures have not been studied.</w:t>
      </w:r>
      <w:r w:rsidR="00C6093B">
        <w:t xml:space="preserve"> Deep </w:t>
      </w:r>
      <w:proofErr w:type="spellStart"/>
      <w:r w:rsidR="00C6093B">
        <w:t>Infra Red</w:t>
      </w:r>
      <w:proofErr w:type="spellEnd"/>
      <w:r w:rsidR="00C6093B">
        <w:t xml:space="preserve"> studies have been shown to speed AVF maturation. It should also be noted that although AVF failure rates were comparable in Sudan an</w:t>
      </w:r>
      <w:r w:rsidR="005A0A94">
        <w:t>d</w:t>
      </w:r>
      <w:r w:rsidR="00BE05A7">
        <w:t xml:space="preserve"> the</w:t>
      </w:r>
      <w:r w:rsidR="00C6093B">
        <w:t xml:space="preserve"> UK, that active intervention was not available in Sudan.</w:t>
      </w:r>
      <w:r w:rsidR="00C361EE">
        <w:t xml:space="preserve"> </w:t>
      </w:r>
    </w:p>
    <w:p w14:paraId="28394427" w14:textId="77777777" w:rsidR="0008778A" w:rsidRDefault="00401EF1" w:rsidP="00401EF1">
      <w:pPr>
        <w:pStyle w:val="ListParagraph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Environmental and Patient Specific Factors associated with AVF Blood Flow. ASN Abstracts New Orleans, November </w:t>
      </w:r>
      <w:r w:rsidR="0008778A">
        <w:rPr>
          <w:sz w:val="16"/>
          <w:szCs w:val="16"/>
        </w:rPr>
        <w:t>3</w:t>
      </w:r>
      <w:r w:rsidR="0008778A" w:rsidRPr="0008778A">
        <w:rPr>
          <w:sz w:val="16"/>
          <w:szCs w:val="16"/>
          <w:vertAlign w:val="superscript"/>
        </w:rPr>
        <w:t>rd</w:t>
      </w:r>
      <w:proofErr w:type="gramStart"/>
      <w:r w:rsidR="0008778A">
        <w:rPr>
          <w:sz w:val="16"/>
          <w:szCs w:val="16"/>
        </w:rPr>
        <w:t xml:space="preserve"> 2017</w:t>
      </w:r>
      <w:proofErr w:type="gramEnd"/>
    </w:p>
    <w:p w14:paraId="0F42F48A" w14:textId="14628B36" w:rsidR="00EE21B1" w:rsidRPr="00401EF1" w:rsidRDefault="0008778A" w:rsidP="00401EF1">
      <w:pPr>
        <w:pStyle w:val="ListParagraph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Relationship Between Clinical Processes and Arteriovenous Fistula Cannulation and Maturation: A </w:t>
      </w:r>
      <w:proofErr w:type="spellStart"/>
      <w:r>
        <w:rPr>
          <w:sz w:val="16"/>
          <w:szCs w:val="16"/>
        </w:rPr>
        <w:t>MultiCenter</w:t>
      </w:r>
      <w:proofErr w:type="spellEnd"/>
      <w:r>
        <w:rPr>
          <w:sz w:val="16"/>
          <w:szCs w:val="16"/>
        </w:rPr>
        <w:t xml:space="preserve"> Cohort Study, </w:t>
      </w:r>
      <w:proofErr w:type="gramStart"/>
      <w:r>
        <w:rPr>
          <w:sz w:val="16"/>
          <w:szCs w:val="16"/>
        </w:rPr>
        <w:t>AJKD ,</w:t>
      </w:r>
      <w:proofErr w:type="gramEnd"/>
      <w:r>
        <w:rPr>
          <w:sz w:val="16"/>
          <w:szCs w:val="16"/>
        </w:rPr>
        <w:t xml:space="preserve"> published online, </w:t>
      </w:r>
      <w:proofErr w:type="spellStart"/>
      <w:r>
        <w:rPr>
          <w:sz w:val="16"/>
          <w:szCs w:val="16"/>
        </w:rPr>
        <w:t>doi</w:t>
      </w:r>
      <w:proofErr w:type="spellEnd"/>
      <w:r>
        <w:rPr>
          <w:sz w:val="16"/>
          <w:szCs w:val="16"/>
        </w:rPr>
        <w:t>: 10.1053/j.akjd.2017.10.027</w:t>
      </w:r>
      <w:r w:rsidR="00401EF1">
        <w:rPr>
          <w:sz w:val="16"/>
          <w:szCs w:val="16"/>
        </w:rPr>
        <w:t xml:space="preserve"> </w:t>
      </w:r>
    </w:p>
    <w:p w14:paraId="5F2DACA9" w14:textId="6A65198E" w:rsidR="001D180E" w:rsidRDefault="001D180E" w:rsidP="00EE21B1"/>
    <w:sectPr w:rsidR="001D18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FC3E65"/>
    <w:multiLevelType w:val="hybridMultilevel"/>
    <w:tmpl w:val="324CF63C"/>
    <w:lvl w:ilvl="0" w:tplc="186A0FE8">
      <w:start w:val="1"/>
      <w:numFmt w:val="decimal"/>
      <w:lvlText w:val="(%1)"/>
      <w:lvlJc w:val="left"/>
      <w:pPr>
        <w:ind w:left="720" w:hanging="360"/>
      </w:pPr>
      <w:rPr>
        <w:rFonts w:hint="default"/>
        <w:sz w:val="16"/>
        <w:szCs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BA2"/>
    <w:rsid w:val="000020D4"/>
    <w:rsid w:val="00012ED8"/>
    <w:rsid w:val="00032041"/>
    <w:rsid w:val="0004652D"/>
    <w:rsid w:val="0008778A"/>
    <w:rsid w:val="000C16C0"/>
    <w:rsid w:val="000E0415"/>
    <w:rsid w:val="00130B7A"/>
    <w:rsid w:val="00151BE9"/>
    <w:rsid w:val="001D180E"/>
    <w:rsid w:val="00202655"/>
    <w:rsid w:val="00210BEB"/>
    <w:rsid w:val="0022755B"/>
    <w:rsid w:val="00230458"/>
    <w:rsid w:val="002637A4"/>
    <w:rsid w:val="002E3210"/>
    <w:rsid w:val="00302CE9"/>
    <w:rsid w:val="00350C2E"/>
    <w:rsid w:val="00363CF4"/>
    <w:rsid w:val="00396248"/>
    <w:rsid w:val="003D3523"/>
    <w:rsid w:val="00401EF1"/>
    <w:rsid w:val="00436ED4"/>
    <w:rsid w:val="004F6D2B"/>
    <w:rsid w:val="0054301E"/>
    <w:rsid w:val="005444AC"/>
    <w:rsid w:val="0057010A"/>
    <w:rsid w:val="005A0816"/>
    <w:rsid w:val="005A0A94"/>
    <w:rsid w:val="005B580C"/>
    <w:rsid w:val="00650A5F"/>
    <w:rsid w:val="00654C00"/>
    <w:rsid w:val="00657157"/>
    <w:rsid w:val="00685286"/>
    <w:rsid w:val="006A4955"/>
    <w:rsid w:val="00741DBF"/>
    <w:rsid w:val="00745390"/>
    <w:rsid w:val="00760007"/>
    <w:rsid w:val="007F14C4"/>
    <w:rsid w:val="00801570"/>
    <w:rsid w:val="00873E14"/>
    <w:rsid w:val="008A68B8"/>
    <w:rsid w:val="00975458"/>
    <w:rsid w:val="00A32E4A"/>
    <w:rsid w:val="00B714CA"/>
    <w:rsid w:val="00BB50F2"/>
    <w:rsid w:val="00BC2B6C"/>
    <w:rsid w:val="00BE05A7"/>
    <w:rsid w:val="00BF2877"/>
    <w:rsid w:val="00C361EE"/>
    <w:rsid w:val="00C52BA2"/>
    <w:rsid w:val="00C6093B"/>
    <w:rsid w:val="00CA2263"/>
    <w:rsid w:val="00CD4EF5"/>
    <w:rsid w:val="00CE58B0"/>
    <w:rsid w:val="00D0179E"/>
    <w:rsid w:val="00D33CB6"/>
    <w:rsid w:val="00D84ECF"/>
    <w:rsid w:val="00DC3388"/>
    <w:rsid w:val="00DD359D"/>
    <w:rsid w:val="00EB7DA9"/>
    <w:rsid w:val="00EC4F8A"/>
    <w:rsid w:val="00EE21B1"/>
    <w:rsid w:val="00F22E71"/>
    <w:rsid w:val="00F32767"/>
    <w:rsid w:val="00F6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8FAF5"/>
  <w15:chartTrackingRefBased/>
  <w15:docId w15:val="{4C953DEB-8EA5-4ED4-AF01-6E8873575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1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4F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F8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01E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King</dc:creator>
  <cp:keywords/>
  <dc:description/>
  <cp:lastModifiedBy>David King</cp:lastModifiedBy>
  <cp:revision>46</cp:revision>
  <cp:lastPrinted>2018-05-26T23:00:00Z</cp:lastPrinted>
  <dcterms:created xsi:type="dcterms:W3CDTF">2018-05-25T21:07:00Z</dcterms:created>
  <dcterms:modified xsi:type="dcterms:W3CDTF">2018-05-30T07:05:00Z</dcterms:modified>
</cp:coreProperties>
</file>