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142" w:rsidRPr="002A025C" w:rsidRDefault="00C61808" w:rsidP="002A025C">
      <w:pPr>
        <w:pStyle w:val="Heading1"/>
        <w:spacing w:before="0" w:after="0"/>
        <w:jc w:val="center"/>
        <w:rPr>
          <w:rStyle w:val="GreenHeading1"/>
          <w:rFonts w:ascii="Arial" w:hAnsi="Arial" w:cs="Arial"/>
          <w:b/>
          <w:color w:val="800080"/>
          <w:sz w:val="24"/>
        </w:rPr>
      </w:pPr>
      <w:r w:rsidRPr="002A025C">
        <w:rPr>
          <w:rStyle w:val="GreenHeading1"/>
          <w:rFonts w:ascii="Arial" w:hAnsi="Arial" w:cs="Arial"/>
          <w:b/>
          <w:color w:val="800080"/>
          <w:sz w:val="24"/>
        </w:rPr>
        <w:t>Higher Specialist Scientist Training Programme</w:t>
      </w:r>
    </w:p>
    <w:p w:rsidR="004F0DDE" w:rsidRPr="002A025C" w:rsidRDefault="004F0DDE" w:rsidP="002A025C">
      <w:pPr>
        <w:pStyle w:val="Heading1"/>
        <w:spacing w:before="0" w:after="0"/>
        <w:jc w:val="center"/>
        <w:rPr>
          <w:rStyle w:val="GreenHeading1"/>
          <w:rFonts w:ascii="Arial" w:hAnsi="Arial" w:cs="Arial"/>
          <w:b/>
          <w:color w:val="800080"/>
          <w:sz w:val="24"/>
        </w:rPr>
      </w:pPr>
    </w:p>
    <w:p w:rsidR="004F0DDE" w:rsidRPr="002A025C" w:rsidRDefault="00EF06D7" w:rsidP="002A025C">
      <w:pPr>
        <w:pStyle w:val="Heading1"/>
        <w:spacing w:before="0" w:after="0"/>
        <w:jc w:val="center"/>
        <w:rPr>
          <w:rStyle w:val="GreenHeading1"/>
          <w:rFonts w:ascii="Arial" w:hAnsi="Arial" w:cs="Arial"/>
          <w:b/>
          <w:color w:val="800080"/>
          <w:sz w:val="24"/>
        </w:rPr>
      </w:pPr>
      <w:r w:rsidRPr="002A025C">
        <w:rPr>
          <w:rStyle w:val="GreenHeading1"/>
          <w:rFonts w:ascii="Arial" w:hAnsi="Arial" w:cs="Arial"/>
          <w:b/>
          <w:color w:val="800080"/>
          <w:sz w:val="24"/>
        </w:rPr>
        <w:t>Component A</w:t>
      </w:r>
      <w:r w:rsidR="000266D4" w:rsidRPr="002A025C">
        <w:rPr>
          <w:rStyle w:val="GreenHeading1"/>
          <w:rFonts w:ascii="Arial" w:hAnsi="Arial" w:cs="Arial"/>
          <w:b/>
          <w:color w:val="800080"/>
          <w:sz w:val="24"/>
        </w:rPr>
        <w:t xml:space="preserve">: </w:t>
      </w:r>
      <w:r w:rsidR="004F0DDE" w:rsidRPr="002A025C">
        <w:rPr>
          <w:rStyle w:val="GreenHeading1"/>
          <w:rFonts w:ascii="Arial" w:hAnsi="Arial" w:cs="Arial"/>
          <w:b/>
          <w:color w:val="800080"/>
          <w:sz w:val="24"/>
        </w:rPr>
        <w:t>Leadership and Management in Healthcare Sciences</w:t>
      </w:r>
    </w:p>
    <w:p w:rsidR="004F0DDE" w:rsidRPr="002A025C" w:rsidRDefault="004F0DDE" w:rsidP="002A025C">
      <w:pPr>
        <w:pStyle w:val="Heading1"/>
        <w:spacing w:before="0" w:after="0"/>
        <w:jc w:val="center"/>
        <w:rPr>
          <w:rStyle w:val="GreenHeading1"/>
          <w:rFonts w:ascii="Arial" w:hAnsi="Arial" w:cs="Arial"/>
          <w:b/>
          <w:color w:val="800080"/>
          <w:sz w:val="24"/>
        </w:rPr>
      </w:pPr>
    </w:p>
    <w:p w:rsidR="00753142" w:rsidRPr="002A025C" w:rsidRDefault="00B9065A" w:rsidP="002A025C">
      <w:pPr>
        <w:pStyle w:val="Heading1"/>
        <w:spacing w:before="0" w:after="0"/>
        <w:jc w:val="center"/>
        <w:rPr>
          <w:rStyle w:val="GreenHeading1"/>
          <w:rFonts w:ascii="Arial" w:hAnsi="Arial" w:cs="Arial"/>
          <w:b/>
          <w:color w:val="800080"/>
          <w:sz w:val="24"/>
          <w:u w:val="single"/>
        </w:rPr>
      </w:pPr>
      <w:r w:rsidRPr="002A025C">
        <w:rPr>
          <w:rStyle w:val="GreenHeading1"/>
          <w:rFonts w:ascii="Arial" w:hAnsi="Arial" w:cs="Arial"/>
          <w:b/>
          <w:color w:val="800080"/>
          <w:sz w:val="24"/>
          <w:u w:val="single"/>
        </w:rPr>
        <w:t>Assignment</w:t>
      </w:r>
      <w:r w:rsidR="00753142" w:rsidRPr="002A025C">
        <w:rPr>
          <w:rStyle w:val="GreenHeading1"/>
          <w:rFonts w:ascii="Arial" w:hAnsi="Arial" w:cs="Arial"/>
          <w:b/>
          <w:color w:val="800080"/>
          <w:sz w:val="24"/>
          <w:u w:val="single"/>
        </w:rPr>
        <w:t xml:space="preserve"> Submission</w:t>
      </w:r>
      <w:r w:rsidRPr="002A025C">
        <w:rPr>
          <w:rStyle w:val="GreenHeading1"/>
          <w:rFonts w:ascii="Arial" w:hAnsi="Arial" w:cs="Arial"/>
          <w:b/>
          <w:color w:val="800080"/>
          <w:sz w:val="24"/>
          <w:u w:val="single"/>
        </w:rPr>
        <w:t xml:space="preserve"> Form</w:t>
      </w:r>
    </w:p>
    <w:p w:rsidR="00753142" w:rsidRPr="00A61004" w:rsidRDefault="00753142" w:rsidP="00753142">
      <w:pPr>
        <w:pStyle w:val="BodyText2"/>
        <w:tabs>
          <w:tab w:val="clear" w:pos="540"/>
        </w:tabs>
        <w:jc w:val="center"/>
        <w:rPr>
          <w:rStyle w:val="GreenHeading1"/>
          <w:rFonts w:ascii="Arial" w:hAnsi="Arial" w:cs="Arial"/>
          <w:color w:val="auto"/>
          <w:sz w:val="24"/>
        </w:rPr>
      </w:pPr>
    </w:p>
    <w:p w:rsidR="00113BF4" w:rsidRPr="00A61004" w:rsidRDefault="00113BF4" w:rsidP="00753142">
      <w:pPr>
        <w:pStyle w:val="BodyText2"/>
        <w:tabs>
          <w:tab w:val="clear" w:pos="540"/>
        </w:tabs>
        <w:jc w:val="center"/>
        <w:rPr>
          <w:rStyle w:val="GreenHeading1"/>
          <w:rFonts w:ascii="Arial" w:hAnsi="Arial" w:cs="Arial"/>
          <w:color w:val="auto"/>
          <w:sz w:val="24"/>
        </w:rPr>
      </w:pPr>
    </w:p>
    <w:p w:rsidR="00753142" w:rsidRPr="00B9065A" w:rsidRDefault="00753142" w:rsidP="00753142">
      <w:pPr>
        <w:pStyle w:val="Header"/>
        <w:jc w:val="center"/>
        <w:rPr>
          <w:rFonts w:cs="Arial"/>
        </w:rPr>
      </w:pPr>
      <w:r w:rsidRPr="00B9065A">
        <w:rPr>
          <w:rFonts w:cs="Arial"/>
        </w:rPr>
        <w:t xml:space="preserve">Please complete the </w:t>
      </w:r>
      <w:r w:rsidR="006C43D1" w:rsidRPr="00B9065A">
        <w:rPr>
          <w:rFonts w:cs="Arial"/>
        </w:rPr>
        <w:t xml:space="preserve">front sheet </w:t>
      </w:r>
      <w:r w:rsidRPr="00B9065A">
        <w:rPr>
          <w:rFonts w:cs="Arial"/>
        </w:rPr>
        <w:t xml:space="preserve">information below and </w:t>
      </w:r>
      <w:r w:rsidR="006C43D1" w:rsidRPr="00B9065A">
        <w:rPr>
          <w:rFonts w:cs="Arial"/>
        </w:rPr>
        <w:t xml:space="preserve">use </w:t>
      </w:r>
      <w:r w:rsidRPr="00B9065A">
        <w:rPr>
          <w:rFonts w:cs="Arial"/>
        </w:rPr>
        <w:t xml:space="preserve">this </w:t>
      </w:r>
      <w:r w:rsidR="00DA144A" w:rsidRPr="00B9065A">
        <w:rPr>
          <w:rFonts w:cs="Arial"/>
        </w:rPr>
        <w:t xml:space="preserve">word </w:t>
      </w:r>
      <w:r w:rsidR="006C43D1" w:rsidRPr="00B9065A">
        <w:rPr>
          <w:rFonts w:cs="Arial"/>
        </w:rPr>
        <w:t xml:space="preserve">document as the template for </w:t>
      </w:r>
      <w:r w:rsidRPr="00B9065A">
        <w:rPr>
          <w:rFonts w:cs="Arial"/>
        </w:rPr>
        <w:t xml:space="preserve">the submission of </w:t>
      </w:r>
      <w:r w:rsidR="00032EC4">
        <w:rPr>
          <w:rFonts w:cs="Arial"/>
        </w:rPr>
        <w:t>y</w:t>
      </w:r>
      <w:r w:rsidRPr="00B9065A">
        <w:rPr>
          <w:rFonts w:cs="Arial"/>
        </w:rPr>
        <w:t>our assignment</w:t>
      </w:r>
      <w:r w:rsidR="00F0035D" w:rsidRPr="00B9065A">
        <w:rPr>
          <w:rFonts w:cs="Arial"/>
        </w:rPr>
        <w:t xml:space="preserve">. </w:t>
      </w:r>
    </w:p>
    <w:p w:rsidR="00F0035D" w:rsidRPr="00B9065A" w:rsidRDefault="00F0035D" w:rsidP="00753142">
      <w:pPr>
        <w:pStyle w:val="Header"/>
        <w:jc w:val="center"/>
        <w:rPr>
          <w:rFonts w:cs="Arial"/>
          <w:sz w:val="12"/>
        </w:rPr>
      </w:pPr>
    </w:p>
    <w:p w:rsidR="00753142" w:rsidRPr="00B9065A" w:rsidRDefault="00032EC4" w:rsidP="00753142">
      <w:pPr>
        <w:pStyle w:val="Header"/>
        <w:jc w:val="center"/>
        <w:rPr>
          <w:rFonts w:cs="Arial"/>
        </w:rPr>
      </w:pPr>
      <w:r>
        <w:rPr>
          <w:rFonts w:cs="Arial"/>
        </w:rPr>
        <w:t>This piece of coursework will be marked anonymously.  Please</w:t>
      </w:r>
      <w:r w:rsidR="00F0035D" w:rsidRPr="00B9065A">
        <w:rPr>
          <w:rFonts w:cs="Arial"/>
        </w:rPr>
        <w:t xml:space="preserve"> </w:t>
      </w:r>
      <w:r w:rsidR="00F0035D" w:rsidRPr="00B9065A">
        <w:rPr>
          <w:rFonts w:cs="Arial"/>
          <w:b/>
        </w:rPr>
        <w:t>do not include your name</w:t>
      </w:r>
      <w:r w:rsidR="00F0035D" w:rsidRPr="00B9065A">
        <w:rPr>
          <w:rFonts w:cs="Arial"/>
        </w:rPr>
        <w:t xml:space="preserve"> on this submission </w:t>
      </w:r>
      <w:r>
        <w:rPr>
          <w:rFonts w:cs="Arial"/>
        </w:rPr>
        <w:t>form</w:t>
      </w:r>
      <w:r w:rsidR="004F0DDE">
        <w:rPr>
          <w:rFonts w:cs="Arial"/>
        </w:rPr>
        <w:t xml:space="preserve"> </w:t>
      </w:r>
      <w:r w:rsidR="00F0035D" w:rsidRPr="00B9065A">
        <w:rPr>
          <w:rFonts w:cs="Arial"/>
        </w:rPr>
        <w:t>– only include your Student ID number.</w:t>
      </w:r>
    </w:p>
    <w:p w:rsidR="00753142" w:rsidRDefault="00753142" w:rsidP="00753142">
      <w:pPr>
        <w:pStyle w:val="BodyText2"/>
        <w:tabs>
          <w:tab w:val="clear" w:pos="540"/>
        </w:tabs>
        <w:jc w:val="center"/>
        <w:rPr>
          <w:rFonts w:ascii="Arial" w:hAnsi="Arial" w:cs="Arial"/>
          <w:b/>
          <w:sz w:val="22"/>
        </w:rPr>
      </w:pPr>
    </w:p>
    <w:p w:rsidR="00032EC4" w:rsidRPr="00B9065A" w:rsidRDefault="00032EC4" w:rsidP="00753142">
      <w:pPr>
        <w:pStyle w:val="BodyText2"/>
        <w:tabs>
          <w:tab w:val="clear" w:pos="540"/>
        </w:tabs>
        <w:jc w:val="center"/>
        <w:rPr>
          <w:rFonts w:ascii="Arial" w:hAnsi="Arial" w:cs="Arial"/>
          <w:b/>
          <w:sz w:val="22"/>
        </w:rPr>
      </w:pPr>
    </w:p>
    <w:p w:rsidR="00753142" w:rsidRDefault="00F0035D" w:rsidP="00753142">
      <w:pPr>
        <w:rPr>
          <w:rFonts w:cs="Arial"/>
          <w:b/>
        </w:rPr>
      </w:pPr>
      <w:r w:rsidRPr="00B9065A">
        <w:rPr>
          <w:rFonts w:cs="Arial"/>
          <w:b/>
        </w:rPr>
        <w:t>Student ID number</w:t>
      </w:r>
      <w:r w:rsidR="00753142" w:rsidRPr="00B9065A">
        <w:rPr>
          <w:rFonts w:cs="Arial"/>
          <w:b/>
        </w:rPr>
        <w:t xml:space="preserve">: </w:t>
      </w:r>
    </w:p>
    <w:p w:rsidR="00032EC4" w:rsidRPr="00B9065A" w:rsidRDefault="00032EC4" w:rsidP="00753142">
      <w:pPr>
        <w:rPr>
          <w:rFonts w:cs="Arial"/>
          <w:b/>
        </w:rPr>
      </w:pPr>
    </w:p>
    <w:p w:rsidR="00F0035D" w:rsidRPr="00B9065A" w:rsidRDefault="00C7544B" w:rsidP="00753142">
      <w:pPr>
        <w:rPr>
          <w:rFonts w:cs="Arial"/>
        </w:rPr>
      </w:pPr>
      <w:r w:rsidRPr="00B9065A">
        <w:rPr>
          <w:rFonts w:cs="Arial"/>
          <w:noProof/>
          <w:lang w:val="en-US"/>
        </w:rPr>
        <mc:AlternateContent>
          <mc:Choice Requires="wps">
            <w:drawing>
              <wp:inline distT="0" distB="0" distL="0" distR="0" wp14:anchorId="5430D524" wp14:editId="422DEF40">
                <wp:extent cx="2743200" cy="271780"/>
                <wp:effectExtent l="0" t="0" r="19050" b="13970"/>
                <wp:docPr id="6" name="Text Box 2" descr="Space to enter your Student ID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1780"/>
                        </a:xfrm>
                        <a:prstGeom prst="rect">
                          <a:avLst/>
                        </a:prstGeom>
                        <a:solidFill>
                          <a:srgbClr val="FFFFFF"/>
                        </a:solidFill>
                        <a:ln w="9525">
                          <a:solidFill>
                            <a:srgbClr val="000000"/>
                          </a:solidFill>
                          <a:miter lim="800000"/>
                          <a:headEnd/>
                          <a:tailEnd/>
                        </a:ln>
                      </wps:spPr>
                      <wps:txbx>
                        <w:txbxContent>
                          <w:p w:rsidR="00F0035D" w:rsidRDefault="0019684D">
                            <w:r>
                              <w:t>7061636</w:t>
                            </w:r>
                          </w:p>
                        </w:txbxContent>
                      </wps:txbx>
                      <wps:bodyPr rot="0" vert="horz" wrap="square" lIns="91440" tIns="45720" rIns="91440" bIns="45720" anchor="t" anchorCtr="0" upright="1">
                        <a:noAutofit/>
                      </wps:bodyPr>
                    </wps:wsp>
                  </a:graphicData>
                </a:graphic>
              </wp:inline>
            </w:drawing>
          </mc:Choice>
          <mc:Fallback>
            <w:pict>
              <v:shapetype w14:anchorId="5430D524" id="_x0000_t202" coordsize="21600,21600" o:spt="202" path="m,l,21600r21600,l21600,xe">
                <v:stroke joinstyle="miter"/>
                <v:path gradientshapeok="t" o:connecttype="rect"/>
              </v:shapetype>
              <v:shape id="Text Box 2" o:spid="_x0000_s1026" type="#_x0000_t202" alt="Space to enter your Student ID number" style="width:3in;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rSAIAAH4EAAAOAAAAZHJzL2Uyb0RvYy54bWysVG1v2yAQ/j5p/wHxfXXipU1q1am6dp0q&#10;dS9Suh+AAcdowDHAsbNfvwOnWdRtX6b5A+K44+Huee58dT0aTXbSBwW2pvOzGSXSchDKbmv69en+&#10;zYqSEJkVTIOVNd3LQK/Xr19dDa6SJXSghfQEQWyoBlfTLkZXFUXgnTQsnIGTFp0teMMimn5bCM8G&#10;RDe6KGezi2IAL5wHLkPA07vJSdcZv20lj5/bNshIdE0xt5hXn9cmrcX6ilVbz1yn+CEN9g9ZGKYs&#10;PnqEumORkd6r36CM4h4CtPGMgymgbRWXuQasZj57Uc2mY07mWpCc4I40hf8Hyz/tvniiRE0vKLHM&#10;oERPcozkHYykpETIwJGtjWNckgiobUS59tB7som9QJM83BHbm0b6xOXgQoWQG4egcUQQ7InMS3CP&#10;wL8FYuG2Y3Yrb7yHoZNMYC3zdLM4uTrhhATSDB9BYFKsj5CBxtabRDRSRxAdNd0fdUyJczwsl4u3&#10;2ByUcPSVy/lylYUuWPV82/kQP0gwJG1q6rFPMjrbPYaYsmHVc0h6LIBW4l5pnQ2/bW61JzuGPXWf&#10;v1zAizBtyVDTy/PyfCLgrxCz/P0JwqjEtlampqtjEKsSbe+tyK0bmdLTHlPW9sBjom4iMY7NeNCl&#10;AbFHRj1MQ4BDi5sO/A9KBhyAmobvPfOSEv1gUZXL+WKRJiYbi/NliYY/9TSnHmY5QtU0UjJtb+M0&#10;Zb3zatvhS1MfWLhBJVuVSU6ST1kd8sYmz9wfBjJN0amdo379NtY/AQAA//8DAFBLAwQUAAYACAAA&#10;ACEAvWiYf9oAAAAEAQAADwAAAGRycy9kb3ducmV2LnhtbEyPQU/DMAyF70j8h8hIXNCW0k2jlKYT&#10;QgLBDcYE16zx2orEKUnWlX+P4QIXy0/Pev5etZ6cFSOG2HtScDnPQCA13vTUKti+3s8KEDFpMtp6&#10;QgVfGGFdn55UujT+SC84blIrOIRiqRV0KQ2llLHp0Ok49wMSe3sfnE4sQytN0EcOd1bmWbaSTvfE&#10;Hzo94F2Hzcfm4BQUy8fxPT4tnt+a1d5ep4ur8eEzKHV+Nt3egEg4pb9j+MFndKiZaecPZKKwCrhI&#10;+p3sLRc5yx0veQGyruR/+PobAAD//wMAUEsBAi0AFAAGAAgAAAAhALaDOJL+AAAA4QEAABMAAAAA&#10;AAAAAAAAAAAAAAAAAFtDb250ZW50X1R5cGVzXS54bWxQSwECLQAUAAYACAAAACEAOP0h/9YAAACU&#10;AQAACwAAAAAAAAAAAAAAAAAvAQAAX3JlbHMvLnJlbHNQSwECLQAUAAYACAAAACEAs6C/q0gCAAB+&#10;BAAADgAAAAAAAAAAAAAAAAAuAgAAZHJzL2Uyb0RvYy54bWxQSwECLQAUAAYACAAAACEAvWiYf9oA&#10;AAAEAQAADwAAAAAAAAAAAAAAAACiBAAAZHJzL2Rvd25yZXYueG1sUEsFBgAAAAAEAAQA8wAAAKkF&#10;AAAAAA==&#10;">
                <v:textbox>
                  <w:txbxContent>
                    <w:p w:rsidR="00F0035D" w:rsidRDefault="0019684D">
                      <w:r>
                        <w:t>7061636</w:t>
                      </w:r>
                    </w:p>
                  </w:txbxContent>
                </v:textbox>
                <w10:anchorlock/>
              </v:shape>
            </w:pict>
          </mc:Fallback>
        </mc:AlternateContent>
      </w:r>
    </w:p>
    <w:p w:rsidR="00F0035D" w:rsidRPr="00B9065A" w:rsidRDefault="00F0035D" w:rsidP="00753142">
      <w:pPr>
        <w:rPr>
          <w:rFonts w:cs="Arial"/>
        </w:rPr>
      </w:pPr>
    </w:p>
    <w:p w:rsidR="00C7544B" w:rsidRDefault="00C7544B" w:rsidP="00753142">
      <w:pPr>
        <w:rPr>
          <w:rFonts w:cs="Arial"/>
        </w:rPr>
      </w:pPr>
    </w:p>
    <w:p w:rsidR="00B9065A" w:rsidRDefault="00B9065A" w:rsidP="00753142">
      <w:pPr>
        <w:rPr>
          <w:rFonts w:cs="Arial"/>
          <w:b/>
        </w:rPr>
      </w:pPr>
      <w:r w:rsidRPr="00B9065A">
        <w:rPr>
          <w:rFonts w:cs="Arial"/>
          <w:b/>
        </w:rPr>
        <w:t>Course Unit Title</w:t>
      </w:r>
      <w:r w:rsidR="00CE66BD">
        <w:rPr>
          <w:rFonts w:cs="Arial"/>
          <w:b/>
        </w:rPr>
        <w:t>:</w:t>
      </w:r>
    </w:p>
    <w:p w:rsidR="00C7544B" w:rsidRPr="00B9065A" w:rsidRDefault="00C7544B" w:rsidP="00753142">
      <w:pPr>
        <w:rPr>
          <w:rFonts w:cs="Arial"/>
          <w:b/>
        </w:rPr>
      </w:pPr>
    </w:p>
    <w:p w:rsidR="00B9065A" w:rsidRDefault="00C7544B" w:rsidP="00753142">
      <w:pPr>
        <w:rPr>
          <w:rFonts w:cs="Arial"/>
        </w:rPr>
      </w:pPr>
      <w:r>
        <w:rPr>
          <w:rFonts w:cs="Arial"/>
          <w:noProof/>
          <w:lang w:eastAsia="en-GB"/>
        </w:rPr>
        <mc:AlternateContent>
          <mc:Choice Requires="wps">
            <w:drawing>
              <wp:inline distT="0" distB="0" distL="0" distR="0" wp14:anchorId="706DAEAD" wp14:editId="5D0C246B">
                <wp:extent cx="5086350" cy="271780"/>
                <wp:effectExtent l="0" t="0" r="19050" b="13970"/>
                <wp:docPr id="5" name="Text Box 6" descr="Space to enter the course unit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271780"/>
                        </a:xfrm>
                        <a:prstGeom prst="rect">
                          <a:avLst/>
                        </a:prstGeom>
                        <a:solidFill>
                          <a:srgbClr val="FFFFFF"/>
                        </a:solidFill>
                        <a:ln w="9525">
                          <a:solidFill>
                            <a:srgbClr val="000000"/>
                          </a:solidFill>
                          <a:miter lim="800000"/>
                          <a:headEnd/>
                          <a:tailEnd/>
                        </a:ln>
                      </wps:spPr>
                      <wps:txbx>
                        <w:txbxContent>
                          <w:p w:rsidR="00735F3C" w:rsidRDefault="00735F3C" w:rsidP="00735F3C">
                            <w:r>
                              <w:t>Unit A1: Professionalism and Professional Development in the Healthcare Environment</w:t>
                            </w:r>
                          </w:p>
                          <w:p w:rsidR="00B9065A" w:rsidRDefault="00B9065A" w:rsidP="00B9065A"/>
                        </w:txbxContent>
                      </wps:txbx>
                      <wps:bodyPr rot="0" vert="horz" wrap="square" lIns="91440" tIns="45720" rIns="91440" bIns="45720" anchor="t" anchorCtr="0" upright="1">
                        <a:noAutofit/>
                      </wps:bodyPr>
                    </wps:wsp>
                  </a:graphicData>
                </a:graphic>
              </wp:inline>
            </w:drawing>
          </mc:Choice>
          <mc:Fallback>
            <w:pict>
              <v:shape w14:anchorId="706DAEAD" id="Text Box 6" o:spid="_x0000_s1027" type="#_x0000_t202" alt="Space to enter the course unit title" style="width:400.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nltSAIAAIQEAAAOAAAAZHJzL2Uyb0RvYy54bWysVNtu2zAMfR+wfxD0vjrJmjY16hRduw4D&#10;uguQ7gMYWY6FyaJGKbG7rx8lp2nQbS/D/CCIInVEnkP68mrorNhpCgZdJacnEym0U1gbt6nkt4e7&#10;NwspQgRXg0WnK/mog7xavn512ftSz7BFW2sSDOJC2ftKtjH6siiCanUH4QS9duxskDqIbNKmqAl6&#10;Ru9sMZtMzooeqfaESofAp7ejUy4zftNoFb80TdBR2EpybjGvlNd1WovlJZQbAt8atU8D/iGLDozj&#10;Rw9QtxBBbMn8BtUZRRiwiScKuwKbxiida+BqppMX1axa8DrXwuQEf6Ap/D9Y9Xn3lYSpKzmXwkHH&#10;Ej3oIYp3OIgzKWodFLO18qC0iMjaRpYrtloo3FLQYutMFNFEqxOVvQ8lI648Y8aBMbglMi3B36P6&#10;HoTDmxbcRl8TYd9qqLmUabpZHF0dcUICWfefsOacYBsxAw0NdYlnZk4wOkv6eJAx5a34cD5ZnL2d&#10;s0uxb3Y+PV9knQson257CvGDxk6kTSWJ2ySjw+4+xJQNlE8h6bGA1tR3xtps0GZ9Y0nsgFvqLn+5&#10;gBdh1om+khfz2Xwk4K8Qk/z9CaIziWxrukouDkFQJtreuzp3bgRjxz2nbN2ex0TdSGIc1kNWN5Oc&#10;OF5j/cjEEo6jwKPLmxbppxQ9j0Elw48tkJbCfnQszsX09DTNTTZO5+czNujYsz72gFMMVckoxbi9&#10;ieOsbT2ZTcsvje3g8JoFbUzm+jmrffrc6lmC/VimWTq2c9Tzz2P5CwAA//8DAFBLAwQUAAYACAAA&#10;ACEA15a7EdsAAAAEAQAADwAAAGRycy9kb3ducmV2LnhtbEyPwU7DMBBE70j9B2srcUHUaalKmsap&#10;EBIIblAQXN14m0TY62C7afh7Fi5wGWk0q5m35XZ0VgwYYudJwXyWgUCqvemoUfD6cneZg4hJk9HW&#10;Eyr4wgjbanJW6sL4Ez3jsEuN4BKKhVbQptQXUsa6RafjzPdInB18cDqxDY00QZ+43Fm5yLKVdLoj&#10;Xmh1j7ct1h+7o1OQLx+G9/h49fRWrw52nS6uh/vPoNT5dLzZgEg4pr9j+MFndKiYae+PZKKwCviR&#10;9Kuc5dmc7V7BcpGDrEr5H776BgAA//8DAFBLAQItABQABgAIAAAAIQC2gziS/gAAAOEBAAATAAAA&#10;AAAAAAAAAAAAAAAAAABbQ29udGVudF9UeXBlc10ueG1sUEsBAi0AFAAGAAgAAAAhADj9If/WAAAA&#10;lAEAAAsAAAAAAAAAAAAAAAAALwEAAF9yZWxzLy5yZWxzUEsBAi0AFAAGAAgAAAAhAHDWeW1IAgAA&#10;hAQAAA4AAAAAAAAAAAAAAAAALgIAAGRycy9lMm9Eb2MueG1sUEsBAi0AFAAGAAgAAAAhANeWuxHb&#10;AAAABAEAAA8AAAAAAAAAAAAAAAAAogQAAGRycy9kb3ducmV2LnhtbFBLBQYAAAAABAAEAPMAAACq&#10;BQAAAAA=&#10;">
                <v:textbox>
                  <w:txbxContent>
                    <w:p w:rsidR="00735F3C" w:rsidRDefault="00735F3C" w:rsidP="00735F3C">
                      <w:r>
                        <w:t>Unit A1: Professionalism and Professional Development in the Healthcare Environment</w:t>
                      </w:r>
                    </w:p>
                    <w:p w:rsidR="00B9065A" w:rsidRDefault="00B9065A" w:rsidP="00B9065A"/>
                  </w:txbxContent>
                </v:textbox>
                <w10:anchorlock/>
              </v:shape>
            </w:pict>
          </mc:Fallback>
        </mc:AlternateContent>
      </w:r>
    </w:p>
    <w:p w:rsidR="00B9065A" w:rsidRDefault="00B9065A" w:rsidP="00753142">
      <w:pPr>
        <w:rPr>
          <w:rFonts w:cs="Arial"/>
        </w:rPr>
      </w:pPr>
    </w:p>
    <w:p w:rsidR="00753142" w:rsidRPr="00B9065A" w:rsidRDefault="00753142" w:rsidP="00753142">
      <w:pPr>
        <w:rPr>
          <w:rFonts w:cs="Arial"/>
        </w:rPr>
      </w:pPr>
    </w:p>
    <w:p w:rsidR="00C333A6" w:rsidRDefault="00C333A6" w:rsidP="00C333A6">
      <w:pPr>
        <w:rPr>
          <w:rFonts w:cs="Arial"/>
          <w:sz w:val="16"/>
          <w:szCs w:val="16"/>
        </w:rPr>
      </w:pPr>
      <w:r w:rsidRPr="00B9065A">
        <w:rPr>
          <w:rFonts w:cs="Arial"/>
          <w:b/>
        </w:rPr>
        <w:t>Date of Submission</w:t>
      </w:r>
      <w:r w:rsidR="00474CD5" w:rsidRPr="00B9065A">
        <w:rPr>
          <w:rFonts w:cs="Arial"/>
          <w:b/>
        </w:rPr>
        <w:t>:</w:t>
      </w:r>
      <w:r w:rsidR="00474CD5" w:rsidRPr="00B9065A">
        <w:rPr>
          <w:rFonts w:cs="Arial"/>
        </w:rPr>
        <w:t xml:space="preserve"> </w:t>
      </w:r>
      <w:r w:rsidR="00474CD5" w:rsidRPr="00B9065A">
        <w:rPr>
          <w:rFonts w:cs="Arial"/>
          <w:sz w:val="16"/>
          <w:szCs w:val="16"/>
        </w:rPr>
        <w:t>(the date your assignment is submitted is also recorded automatically in the virtual learning environment) (dd/mm/</w:t>
      </w:r>
      <w:proofErr w:type="spellStart"/>
      <w:r w:rsidR="00474CD5" w:rsidRPr="00B9065A">
        <w:rPr>
          <w:rFonts w:cs="Arial"/>
          <w:sz w:val="16"/>
          <w:szCs w:val="16"/>
        </w:rPr>
        <w:t>yyyy</w:t>
      </w:r>
      <w:proofErr w:type="spellEnd"/>
      <w:r w:rsidR="00474CD5" w:rsidRPr="00B9065A">
        <w:rPr>
          <w:rFonts w:cs="Arial"/>
          <w:sz w:val="16"/>
          <w:szCs w:val="16"/>
        </w:rPr>
        <w:t>)</w:t>
      </w:r>
    </w:p>
    <w:p w:rsidR="00C7544B" w:rsidRPr="00C7544B" w:rsidRDefault="00C7544B" w:rsidP="00C333A6">
      <w:pPr>
        <w:rPr>
          <w:rFonts w:cs="Arial"/>
          <w:szCs w:val="20"/>
        </w:rPr>
      </w:pPr>
    </w:p>
    <w:p w:rsidR="00C333A6" w:rsidRPr="00B9065A" w:rsidRDefault="00C7544B" w:rsidP="00753142">
      <w:pPr>
        <w:rPr>
          <w:rFonts w:cs="Arial"/>
        </w:rPr>
      </w:pPr>
      <w:r w:rsidRPr="00B9065A">
        <w:rPr>
          <w:rFonts w:cs="Arial"/>
          <w:noProof/>
          <w:lang w:val="en-US"/>
        </w:rPr>
        <mc:AlternateContent>
          <mc:Choice Requires="wps">
            <w:drawing>
              <wp:inline distT="0" distB="0" distL="0" distR="0" wp14:anchorId="3AD31291" wp14:editId="4AD4F41B">
                <wp:extent cx="2171700" cy="271780"/>
                <wp:effectExtent l="0" t="0" r="19050" b="13970"/>
                <wp:docPr id="4" name="Text Box 4" descr="Space to enter the date of submiss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71780"/>
                        </a:xfrm>
                        <a:prstGeom prst="rect">
                          <a:avLst/>
                        </a:prstGeom>
                        <a:solidFill>
                          <a:srgbClr val="FFFFFF"/>
                        </a:solidFill>
                        <a:ln w="9525">
                          <a:solidFill>
                            <a:srgbClr val="000000"/>
                          </a:solidFill>
                          <a:miter lim="800000"/>
                          <a:headEnd/>
                          <a:tailEnd/>
                        </a:ln>
                      </wps:spPr>
                      <wps:txbx>
                        <w:txbxContent>
                          <w:p w:rsidR="00474CD5" w:rsidRDefault="00CB70A9" w:rsidP="00474CD5">
                            <w:r>
                              <w:t>22/01/2024</w:t>
                            </w:r>
                          </w:p>
                        </w:txbxContent>
                      </wps:txbx>
                      <wps:bodyPr rot="0" vert="horz" wrap="square" lIns="91440" tIns="45720" rIns="91440" bIns="45720" anchor="t" anchorCtr="0" upright="1">
                        <a:noAutofit/>
                      </wps:bodyPr>
                    </wps:wsp>
                  </a:graphicData>
                </a:graphic>
              </wp:inline>
            </w:drawing>
          </mc:Choice>
          <mc:Fallback>
            <w:pict>
              <v:shape w14:anchorId="3AD31291" id="Text Box 4" o:spid="_x0000_s1028" type="#_x0000_t202" alt="Space to enter the date of submission" style="width:171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3XRwIAAIUEAAAOAAAAZHJzL2Uyb0RvYy54bWysVNtu2zAMfR+wfxD0vjox0rU16hRduw4D&#10;dgPafQAtybEwSdQkJXb39aPkNAu67WWYHwRSlI7Ic0hfXk3WsJ0KUaNr+fJkwZlyAqV2m5Z/fbh7&#10;dc5ZTOAkGHSq5Y8q8qv1yxeXo29UjQMaqQIjEBeb0bd8SMk3VRXFoCzEE/TKUbDHYCGRGzaVDDAS&#10;ujVVvVi8rkYM0gcUKkbavZ2DfF3w+16J9Lnvo0rMtJxyS2UNZe3yWq0vodkE8IMW+zTgH7KwoB09&#10;eoC6hQRsG/RvUFaLgBH7dCLQVtj3WqhSA1WzXDyr5n4Ar0otRE70B5ri/4MVn3ZfAtOy5SvOHFiS&#10;6EFNib3BidGOVFEQW/cehGIJSdtEcqVBMQlJMexZ3HZWE/foMpejjw1B3nsCTROBUE8UXqL/gOJb&#10;ZA5vBnAbdR0CjoMCSbUs883q6OqMEzNIN35ESUnBNmEBmvpgM9FEHSN00vTxoGNOXNBmvTxbni0o&#10;JChWk31ehK6gebrtQ0zvFFqWjZYH6pOCDrsPMeVsoHk6kh+LaLS808YUJ2y6GxPYDqin7spXCnh2&#10;zDg2tvzitD6dCfgrxKJ8f4KwOrNttG35+eEQNJm2t06W1k2gzWxTysbteczUzSSmqZuKvPWTPB3K&#10;RyI24DwLNLtkDBh+cDbSHLQ8ft9CUJyZ947EuViuVnlwirM6PavJCceR7jgCThBUyxNns3mT5mHb&#10;+qA3A700t4PDaxK014XrrPyc1T596vUiwX4u8zAd++XUr7/H+icAAAD//wMAUEsDBBQABgAIAAAA&#10;IQA4yNw42wAAAAQBAAAPAAAAZHJzL2Rvd25yZXYueG1sTI9BS8QwEIXvgv8hjOBF3NRuWWttuoig&#10;6E1X0Wu2mW2LyaQm2W79945e9PLg8Yb3vqnXs7NiwhAHTwouFhkIpNabgToFry935yWImDQZbT2h&#10;gi+MsG6Oj2pdGX+gZ5w2qRNcQrHSCvqUxkrK2PbodFz4EYmznQ9OJ7ahkyboA5c7K/MsW0mnB+KF&#10;Xo9422P7sdk7BWXxML3Hx+XTW7va2at0djndfwalTk/mm2sQCef0dww/+IwODTNt/Z5MFFYBP5J+&#10;lbNlkbPdKijyEmRTy//wzTcAAAD//wMAUEsBAi0AFAAGAAgAAAAhALaDOJL+AAAA4QEAABMAAAAA&#10;AAAAAAAAAAAAAAAAAFtDb250ZW50X1R5cGVzXS54bWxQSwECLQAUAAYACAAAACEAOP0h/9YAAACU&#10;AQAACwAAAAAAAAAAAAAAAAAvAQAAX3JlbHMvLnJlbHNQSwECLQAUAAYACAAAACEAal7910cCAACF&#10;BAAADgAAAAAAAAAAAAAAAAAuAgAAZHJzL2Uyb0RvYy54bWxQSwECLQAUAAYACAAAACEAOMjcONsA&#10;AAAEAQAADwAAAAAAAAAAAAAAAAChBAAAZHJzL2Rvd25yZXYueG1sUEsFBgAAAAAEAAQA8wAAAKkF&#10;AAAAAA==&#10;">
                <v:textbox>
                  <w:txbxContent>
                    <w:p w:rsidR="00474CD5" w:rsidRDefault="00CB70A9" w:rsidP="00474CD5">
                      <w:r>
                        <w:t>22/01/2024</w:t>
                      </w:r>
                    </w:p>
                  </w:txbxContent>
                </v:textbox>
                <w10:anchorlock/>
              </v:shape>
            </w:pict>
          </mc:Fallback>
        </mc:AlternateContent>
      </w:r>
    </w:p>
    <w:p w:rsidR="00C333A6" w:rsidRPr="00B9065A" w:rsidRDefault="00C333A6" w:rsidP="00753142">
      <w:pPr>
        <w:rPr>
          <w:rFonts w:cs="Arial"/>
        </w:rPr>
      </w:pPr>
    </w:p>
    <w:p w:rsidR="006C43D1" w:rsidRDefault="006C43D1" w:rsidP="00753142">
      <w:pPr>
        <w:rPr>
          <w:rFonts w:cs="Arial"/>
          <w:sz w:val="18"/>
        </w:rPr>
      </w:pPr>
    </w:p>
    <w:p w:rsidR="00CE66BD" w:rsidRDefault="00CE66BD" w:rsidP="00CE66BD">
      <w:pPr>
        <w:rPr>
          <w:rFonts w:cs="Arial"/>
          <w:b/>
        </w:rPr>
      </w:pPr>
      <w:r>
        <w:rPr>
          <w:rFonts w:cs="Arial"/>
          <w:b/>
        </w:rPr>
        <w:t>Word</w:t>
      </w:r>
      <w:r w:rsidR="00C73725">
        <w:rPr>
          <w:rFonts w:cs="Arial"/>
          <w:b/>
        </w:rPr>
        <w:t xml:space="preserve"> </w:t>
      </w:r>
      <w:r>
        <w:rPr>
          <w:rFonts w:cs="Arial"/>
          <w:b/>
        </w:rPr>
        <w:t>count</w:t>
      </w:r>
      <w:r w:rsidR="00D5377F">
        <w:rPr>
          <w:rFonts w:cs="Arial"/>
          <w:b/>
        </w:rPr>
        <w:t xml:space="preserve">: </w:t>
      </w:r>
      <w:r w:rsidR="00D5377F" w:rsidRPr="00D5377F">
        <w:rPr>
          <w:rFonts w:cs="Arial"/>
          <w:sz w:val="16"/>
          <w:szCs w:val="16"/>
        </w:rPr>
        <w:t>(main body)</w:t>
      </w:r>
    </w:p>
    <w:p w:rsidR="00CE66BD" w:rsidRPr="00C7544B" w:rsidRDefault="00CE66BD" w:rsidP="00CE66BD">
      <w:pPr>
        <w:rPr>
          <w:rFonts w:cs="Arial"/>
          <w:szCs w:val="20"/>
        </w:rPr>
      </w:pPr>
    </w:p>
    <w:p w:rsidR="00CE66BD" w:rsidRPr="00B9065A" w:rsidRDefault="00C7544B" w:rsidP="00CE66BD">
      <w:pPr>
        <w:rPr>
          <w:rFonts w:cs="Arial"/>
        </w:rPr>
      </w:pPr>
      <w:r w:rsidRPr="00B9065A">
        <w:rPr>
          <w:rFonts w:cs="Arial"/>
          <w:noProof/>
          <w:lang w:val="en-US"/>
        </w:rPr>
        <mc:AlternateContent>
          <mc:Choice Requires="wps">
            <w:drawing>
              <wp:inline distT="0" distB="0" distL="0" distR="0" wp14:anchorId="4E7C17EC" wp14:editId="775F39D2">
                <wp:extent cx="2171700" cy="271780"/>
                <wp:effectExtent l="0" t="0" r="19050" b="13970"/>
                <wp:docPr id="2" name="Text Box 7" descr="Space to enter word cou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71780"/>
                        </a:xfrm>
                        <a:prstGeom prst="rect">
                          <a:avLst/>
                        </a:prstGeom>
                        <a:solidFill>
                          <a:srgbClr val="FFFFFF"/>
                        </a:solidFill>
                        <a:ln w="9525">
                          <a:solidFill>
                            <a:srgbClr val="000000"/>
                          </a:solidFill>
                          <a:miter lim="800000"/>
                          <a:headEnd/>
                          <a:tailEnd/>
                        </a:ln>
                      </wps:spPr>
                      <wps:txbx>
                        <w:txbxContent>
                          <w:p w:rsidR="00CE66BD" w:rsidRDefault="00EF77C9" w:rsidP="00CE66BD">
                            <w:r>
                              <w:t>28</w:t>
                            </w:r>
                            <w:r w:rsidR="00987395">
                              <w:t>40</w:t>
                            </w:r>
                          </w:p>
                        </w:txbxContent>
                      </wps:txbx>
                      <wps:bodyPr rot="0" vert="horz" wrap="square" lIns="91440" tIns="45720" rIns="91440" bIns="45720" anchor="t" anchorCtr="0" upright="1">
                        <a:noAutofit/>
                      </wps:bodyPr>
                    </wps:wsp>
                  </a:graphicData>
                </a:graphic>
              </wp:inline>
            </w:drawing>
          </mc:Choice>
          <mc:Fallback>
            <w:pict>
              <v:shape w14:anchorId="4E7C17EC" id="Text Box 7" o:spid="_x0000_s1029" type="#_x0000_t202" alt="Space to enter word count" style="width:171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QO/QAIAAHkEAAAOAAAAZHJzL2Uyb0RvYy54bWysVNuO0zAQfUfiHyy/07Shpd2o6WrpUoS0&#10;XKQuHzB1nMbC8RjbbbJ8PWOnLdUCL4g8WDMe+3jmnJksb/tWs6N0XqEp+WQ05kwagZUy+5J/fdy8&#10;WnDmA5gKNBpZ8ifp+e3q5YtlZwuZY4O6ko4RiPFFZ0vehGCLLPOikS34EVppKFijayGQ6/ZZ5aAj&#10;9FZn+Xj8JuvQVdahkN7T7v0Q5KuEX9dShM917WVguuSUW0irS+surtlqCcXegW2UOKUB/5BFC8rQ&#10;oxeoewjADk79BtUq4dBjHUYC2wzrWgmZaqBqJuNn1WwbsDLVQuR4e6HJ/z9Y8en4xTFVlTznzEBL&#10;Ej3KPrC32LM5Z5X0gtjaWhCSBSRtA8kVOWcCDyZE/jrrC4LZWgIKPV2kPkhcePuA4ptnBtcNmL28&#10;cw67RkJF+U/izezq6oDjI8iu+4gVJQKHgAmor10bySW6GKGTjk8X7WKygjbzyXwyH1NIUCwne5HE&#10;zaA437bOh/cSWxaNkjvqjYQOxwcfYjZQnI/ExzxqVW2U1slx+91aO3YE6qNN+lIBz45pw7qS38zy&#10;2UDAXyHG6fsTRKsiw1q1JV9cDkERaXtnqtSuAZQebEpZmxOPkbqBxNDv+iTp67M8O6yeiFiHQ//T&#10;vJLRoPvBWUe9X3L//QBOcqY/GBLnZjKdxmFJznQ2z8lx15HddQSMIKiSB84Gcx2GATtYp/YNvTS0&#10;g8E7ErRWieuo/JDVKX3q7yTBaRbjAF376dSvP8bqJwAAAP//AwBQSwMEFAAGAAgAAAAhADjI3Djb&#10;AAAABAEAAA8AAABkcnMvZG93bnJldi54bWxMj0FLxDAQhe+C/yGM4EXc1G5Za226iKDoTVfRa7aZ&#10;bYvJpCbZbv33jl708uDxhve+qdezs2LCEAdPCi4WGQik1puBOgWvL3fnJYiYNBltPaGCL4ywbo6P&#10;al0Zf6BnnDapE1xCsdIK+pTGSsrY9uh0XPgRibOdD04ntqGTJugDlzsr8yxbSacH4oVej3jbY/ux&#10;2TsFZfEwvcfH5dNbu9rZq3R2Od1/BqVOT+abaxAJ5/R3DD/4jA4NM239nkwUVgE/kn6Vs2WRs90q&#10;KPISZFPL//DNNwAAAP//AwBQSwECLQAUAAYACAAAACEAtoM4kv4AAADhAQAAEwAAAAAAAAAAAAAA&#10;AAAAAAAAW0NvbnRlbnRfVHlwZXNdLnhtbFBLAQItABQABgAIAAAAIQA4/SH/1gAAAJQBAAALAAAA&#10;AAAAAAAAAAAAAC8BAABfcmVscy8ucmVsc1BLAQItABQABgAIAAAAIQAq1QO/QAIAAHkEAAAOAAAA&#10;AAAAAAAAAAAAAC4CAABkcnMvZTJvRG9jLnhtbFBLAQItABQABgAIAAAAIQA4yNw42wAAAAQBAAAP&#10;AAAAAAAAAAAAAAAAAJoEAABkcnMvZG93bnJldi54bWxQSwUGAAAAAAQABADzAAAAogUAAAAA&#10;">
                <v:textbox>
                  <w:txbxContent>
                    <w:p w:rsidR="00CE66BD" w:rsidRDefault="00EF77C9" w:rsidP="00CE66BD">
                      <w:r>
                        <w:t>28</w:t>
                      </w:r>
                      <w:r w:rsidR="00987395">
                        <w:t>40</w:t>
                      </w:r>
                    </w:p>
                  </w:txbxContent>
                </v:textbox>
                <w10:anchorlock/>
              </v:shape>
            </w:pict>
          </mc:Fallback>
        </mc:AlternateContent>
      </w:r>
    </w:p>
    <w:p w:rsidR="00CE66BD" w:rsidRPr="00C7544B" w:rsidRDefault="00CE66BD" w:rsidP="00CE66BD">
      <w:pPr>
        <w:rPr>
          <w:rFonts w:cs="Arial"/>
          <w:szCs w:val="20"/>
        </w:rPr>
      </w:pPr>
    </w:p>
    <w:p w:rsidR="00B9065A" w:rsidRPr="00C7544B" w:rsidRDefault="00B9065A" w:rsidP="00753142">
      <w:pPr>
        <w:rPr>
          <w:rFonts w:cs="Arial"/>
          <w:szCs w:val="20"/>
        </w:rPr>
      </w:pPr>
    </w:p>
    <w:p w:rsidR="00474CD5" w:rsidRPr="00B9065A" w:rsidRDefault="00474CD5" w:rsidP="00753142">
      <w:pPr>
        <w:rPr>
          <w:rFonts w:cs="Arial"/>
          <w:b/>
        </w:rPr>
      </w:pPr>
      <w:r w:rsidRPr="00B9065A">
        <w:rPr>
          <w:rFonts w:cs="Arial"/>
          <w:b/>
        </w:rPr>
        <w:t>Layout and Re</w:t>
      </w:r>
      <w:bookmarkStart w:id="0" w:name="_GoBack"/>
      <w:bookmarkEnd w:id="0"/>
      <w:r w:rsidRPr="00B9065A">
        <w:rPr>
          <w:rFonts w:cs="Arial"/>
          <w:b/>
        </w:rPr>
        <w:t>ferencing Guidance</w:t>
      </w:r>
    </w:p>
    <w:p w:rsidR="00474CD5" w:rsidRDefault="00474CD5" w:rsidP="00753142">
      <w:pPr>
        <w:rPr>
          <w:rFonts w:cs="Arial"/>
          <w:sz w:val="18"/>
        </w:rPr>
      </w:pPr>
      <w:r w:rsidRPr="00B9065A">
        <w:rPr>
          <w:rFonts w:cs="Arial"/>
        </w:rPr>
        <w:t xml:space="preserve">You should use the </w:t>
      </w:r>
      <w:r w:rsidRPr="00B9065A">
        <w:rPr>
          <w:rFonts w:cs="Arial"/>
          <w:b/>
        </w:rPr>
        <w:t xml:space="preserve">Harvard </w:t>
      </w:r>
      <w:r w:rsidR="0021062C">
        <w:rPr>
          <w:rFonts w:cs="Arial"/>
          <w:b/>
        </w:rPr>
        <w:t xml:space="preserve">Manchester </w:t>
      </w:r>
      <w:r w:rsidRPr="00B9065A">
        <w:rPr>
          <w:rFonts w:cs="Arial"/>
          <w:b/>
        </w:rPr>
        <w:t>referencing</w:t>
      </w:r>
      <w:r w:rsidRPr="00B9065A">
        <w:rPr>
          <w:rFonts w:cs="Arial"/>
        </w:rPr>
        <w:t xml:space="preserve"> system throughout your paper.</w:t>
      </w:r>
      <w:r w:rsidR="008C707C" w:rsidRPr="00B9065A">
        <w:rPr>
          <w:rFonts w:cs="Arial"/>
        </w:rPr>
        <w:t xml:space="preserve"> Please use a legible font, size 10-12</w:t>
      </w:r>
      <w:r w:rsidR="00764817">
        <w:rPr>
          <w:rFonts w:cs="Arial"/>
        </w:rPr>
        <w:t xml:space="preserve"> and </w:t>
      </w:r>
      <w:r w:rsidR="008C707C" w:rsidRPr="00B9065A">
        <w:rPr>
          <w:rFonts w:cs="Arial"/>
        </w:rPr>
        <w:t>double</w:t>
      </w:r>
      <w:r w:rsidR="00764817">
        <w:rPr>
          <w:rFonts w:cs="Arial"/>
        </w:rPr>
        <w:t xml:space="preserve">/ </w:t>
      </w:r>
      <w:proofErr w:type="gramStart"/>
      <w:r w:rsidR="00764817">
        <w:rPr>
          <w:rFonts w:cs="Arial"/>
        </w:rPr>
        <w:t>1.5</w:t>
      </w:r>
      <w:r w:rsidR="008C707C" w:rsidRPr="00B9065A">
        <w:rPr>
          <w:rFonts w:cs="Arial"/>
        </w:rPr>
        <w:t xml:space="preserve"> line</w:t>
      </w:r>
      <w:proofErr w:type="gramEnd"/>
      <w:r w:rsidR="008C707C" w:rsidRPr="00B9065A">
        <w:rPr>
          <w:rFonts w:cs="Arial"/>
        </w:rPr>
        <w:t xml:space="preserve"> space formatting.</w:t>
      </w:r>
      <w:r w:rsidR="00032EC4">
        <w:rPr>
          <w:rFonts w:cs="Arial"/>
        </w:rPr>
        <w:t xml:space="preserve"> You should also include your student ID number on each page in the top </w:t>
      </w:r>
      <w:proofErr w:type="gramStart"/>
      <w:r w:rsidR="00032EC4">
        <w:rPr>
          <w:rFonts w:cs="Arial"/>
        </w:rPr>
        <w:t>right hand</w:t>
      </w:r>
      <w:proofErr w:type="gramEnd"/>
      <w:r w:rsidR="00032EC4">
        <w:rPr>
          <w:rFonts w:cs="Arial"/>
        </w:rPr>
        <w:t xml:space="preserve"> corner.</w:t>
      </w:r>
      <w:r w:rsidR="00E01ACF">
        <w:rPr>
          <w:rFonts w:cs="Arial"/>
        </w:rPr>
        <w:t xml:space="preserve"> Please include page numbers.</w:t>
      </w:r>
    </w:p>
    <w:p w:rsidR="00032EC4" w:rsidRDefault="00032EC4" w:rsidP="00753142">
      <w:pPr>
        <w:rPr>
          <w:rFonts w:cs="Arial"/>
        </w:rPr>
      </w:pPr>
    </w:p>
    <w:p w:rsidR="00B9065A" w:rsidRDefault="00B9065A" w:rsidP="00753142">
      <w:pPr>
        <w:rPr>
          <w:rFonts w:cs="Arial"/>
        </w:rPr>
      </w:pPr>
    </w:p>
    <w:p w:rsidR="00B9065A" w:rsidRPr="005765D2" w:rsidRDefault="00B9065A" w:rsidP="00B9065A">
      <w:pPr>
        <w:pStyle w:val="Footer"/>
        <w:rPr>
          <w:b/>
        </w:rPr>
      </w:pPr>
      <w:r>
        <w:rPr>
          <w:b/>
        </w:rPr>
        <w:t xml:space="preserve">WARNING. You must ensure that you have followed your </w:t>
      </w:r>
      <w:r w:rsidR="00CE66BD">
        <w:rPr>
          <w:b/>
        </w:rPr>
        <w:t>school’s</w:t>
      </w:r>
      <w:r>
        <w:rPr>
          <w:b/>
        </w:rPr>
        <w:t xml:space="preserve"> guidelines on quoting from the work of others and acknowledging the source of quoted material. Plagiarism – the use of someone else’s work or your own previous work without proper acknowledgement – is a serious academic offence and the consequences are severe. Please also ensure that any word limits imposed by your department are not exceeded.</w:t>
      </w:r>
    </w:p>
    <w:p w:rsidR="00202DE5" w:rsidRDefault="00202DE5" w:rsidP="00753142">
      <w:pPr>
        <w:rPr>
          <w:rFonts w:cs="Arial"/>
        </w:rPr>
        <w:sectPr w:rsidR="00202DE5" w:rsidSect="00202DE5">
          <w:headerReference w:type="default" r:id="rId8"/>
          <w:pgSz w:w="11906" w:h="16838"/>
          <w:pgMar w:top="1440" w:right="1800" w:bottom="1440" w:left="1800" w:header="708" w:footer="708" w:gutter="0"/>
          <w:pgNumType w:start="1"/>
          <w:cols w:space="708"/>
          <w:docGrid w:linePitch="360"/>
        </w:sectPr>
      </w:pPr>
    </w:p>
    <w:p w:rsidR="00CB70A9" w:rsidRDefault="00CB70A9" w:rsidP="00576E9E">
      <w:pPr>
        <w:spacing w:line="360" w:lineRule="auto"/>
        <w:rPr>
          <w:rFonts w:cs="Arial"/>
          <w:b/>
          <w:sz w:val="24"/>
          <w:u w:val="single"/>
        </w:rPr>
      </w:pPr>
    </w:p>
    <w:p w:rsidR="00CB70A9" w:rsidRPr="00CB70A9" w:rsidRDefault="00CB70A9" w:rsidP="00CB70A9">
      <w:pPr>
        <w:rPr>
          <w:sz w:val="24"/>
        </w:rPr>
      </w:pPr>
    </w:p>
    <w:p w:rsidR="00CB70A9" w:rsidRPr="00CB70A9" w:rsidRDefault="00CB70A9" w:rsidP="00CB70A9">
      <w:pPr>
        <w:rPr>
          <w:sz w:val="24"/>
          <w:u w:val="single"/>
        </w:rPr>
      </w:pPr>
      <w:r w:rsidRPr="00CB70A9">
        <w:rPr>
          <w:sz w:val="24"/>
          <w:u w:val="single"/>
        </w:rPr>
        <w:t>Drawing upon the literature in the field of social mobilising theory and demonstrating your awareness of the work of Marshall Ganz, construct a compelling and evidence based, ‘public narrative’, for a proposed change or improvement in a service that your department, or organisation provides.</w:t>
      </w:r>
    </w:p>
    <w:p w:rsidR="00CB70A9" w:rsidRPr="00CB70A9" w:rsidRDefault="00CB70A9" w:rsidP="00CB70A9">
      <w:pPr>
        <w:rPr>
          <w:sz w:val="24"/>
          <w:u w:val="single"/>
        </w:rPr>
      </w:pPr>
      <w:r w:rsidRPr="00CB70A9">
        <w:rPr>
          <w:sz w:val="24"/>
          <w:u w:val="single"/>
        </w:rPr>
        <w:t xml:space="preserve">Evaluate how useful an approach such as this might be for healthcare scientists, who are seeking to influence within healthcare today. </w:t>
      </w:r>
    </w:p>
    <w:p w:rsidR="008053C2" w:rsidRDefault="008053C2" w:rsidP="00F110A1"/>
    <w:p w:rsidR="00DB5CFF" w:rsidRDefault="00DB5CFF">
      <w:pPr>
        <w:rPr>
          <w:rFonts w:cs="Arial"/>
          <w:sz w:val="24"/>
        </w:rPr>
      </w:pPr>
    </w:p>
    <w:p w:rsidR="006D0F1C" w:rsidRDefault="00DB5CFF" w:rsidP="00A96B1E">
      <w:pPr>
        <w:spacing w:line="480" w:lineRule="auto"/>
        <w:rPr>
          <w:rFonts w:cs="Arial"/>
          <w:sz w:val="24"/>
          <w:u w:val="single"/>
        </w:rPr>
      </w:pPr>
      <w:r w:rsidRPr="006D0F1C">
        <w:rPr>
          <w:rFonts w:cs="Arial"/>
          <w:sz w:val="24"/>
          <w:u w:val="single"/>
        </w:rPr>
        <w:t>Introduction</w:t>
      </w:r>
      <w:r w:rsidR="006D0F1C">
        <w:rPr>
          <w:rFonts w:cs="Arial"/>
          <w:sz w:val="24"/>
          <w:u w:val="single"/>
        </w:rPr>
        <w:t xml:space="preserve"> </w:t>
      </w:r>
    </w:p>
    <w:p w:rsidR="00AE5BEB" w:rsidRDefault="00AE5BEB" w:rsidP="00A96B1E">
      <w:pPr>
        <w:spacing w:line="480" w:lineRule="auto"/>
      </w:pPr>
    </w:p>
    <w:p w:rsidR="00044593" w:rsidRDefault="0082485B" w:rsidP="00A96B1E">
      <w:pPr>
        <w:spacing w:line="480" w:lineRule="auto"/>
        <w:rPr>
          <w:sz w:val="24"/>
        </w:rPr>
      </w:pPr>
      <w:r>
        <w:rPr>
          <w:sz w:val="24"/>
        </w:rPr>
        <w:t xml:space="preserve">The concept of social mobilising is based on a number of theories, including ‘depravation, resource action, political process and social movement’ theories, which have developed from social or political need in the US and Europe over the last century </w:t>
      </w:r>
      <w:r w:rsidR="00806574">
        <w:rPr>
          <w:sz w:val="24"/>
        </w:rPr>
        <w:fldChar w:fldCharType="begin"/>
      </w:r>
      <w:r w:rsidR="00806574">
        <w:rPr>
          <w:sz w:val="24"/>
        </w:rPr>
        <w:instrText xml:space="preserve"> ADDIN ZOTERO_ITEM CSL_CITATION {"citationID":"gHWGofcD","properties":{"formattedCitation":"(Sen and Avci 2016)","plainCitation":"(Sen and Avci 2016)","noteIndex":0},"citationItems":[{"id":97,"uris":["http://zotero.org/users/12977854/items/3JICLTY5"],"itemData":{"id":97,"type":"article-journal","abstract":"In this study, the emergence of social movements is examined. To understand why social movements are born (and grow), we looked at the following theories that try to understand the origins of social movements: deprivation theory; resource mobilization theory; political process theory; structural strain theory; and new social movement theories. The paper also demonstrated how some of these theories can be used to explain some prominent social movements. Finally, the paper also discussed how social movements are intimately tied up with various forms of adult learning.","container-title":"Knowledge Management","language":"en","source":"Zotero","title":"WHY SOCIAL MOVEMENTS OCCUR: THEORIES OF SOCIAL MOVEMENTS","author":[{"family":"Sen","given":"Anindya"},{"family":"Avci","given":"Ömer"}],"issued":{"date-parts":[["2016"]]}}}],"schema":"https://github.com/citation-style-language/schema/raw/master/csl-citation.json"} </w:instrText>
      </w:r>
      <w:r w:rsidR="00806574">
        <w:rPr>
          <w:sz w:val="24"/>
        </w:rPr>
        <w:fldChar w:fldCharType="separate"/>
      </w:r>
      <w:r w:rsidR="00806574" w:rsidRPr="00806574">
        <w:rPr>
          <w:rFonts w:cs="Arial"/>
          <w:sz w:val="24"/>
        </w:rPr>
        <w:t xml:space="preserve">(Sen and </w:t>
      </w:r>
      <w:proofErr w:type="spellStart"/>
      <w:r w:rsidR="00806574" w:rsidRPr="00806574">
        <w:rPr>
          <w:rFonts w:cs="Arial"/>
          <w:sz w:val="24"/>
        </w:rPr>
        <w:t>Avci</w:t>
      </w:r>
      <w:proofErr w:type="spellEnd"/>
      <w:r w:rsidR="00806574" w:rsidRPr="00806574">
        <w:rPr>
          <w:rFonts w:cs="Arial"/>
          <w:sz w:val="24"/>
        </w:rPr>
        <w:t xml:space="preserve"> 2016</w:t>
      </w:r>
      <w:r w:rsidR="00806574">
        <w:rPr>
          <w:rFonts w:cs="Arial"/>
          <w:sz w:val="24"/>
        </w:rPr>
        <w:t>, pg125</w:t>
      </w:r>
      <w:r w:rsidR="00806574" w:rsidRPr="00806574">
        <w:rPr>
          <w:rFonts w:cs="Arial"/>
          <w:sz w:val="24"/>
        </w:rPr>
        <w:t>)</w:t>
      </w:r>
      <w:r w:rsidR="00806574">
        <w:rPr>
          <w:sz w:val="24"/>
        </w:rPr>
        <w:fldChar w:fldCharType="end"/>
      </w:r>
      <w:r>
        <w:rPr>
          <w:sz w:val="24"/>
        </w:rPr>
        <w:t xml:space="preserve">.  </w:t>
      </w:r>
      <w:r w:rsidR="00AB2067">
        <w:rPr>
          <w:sz w:val="24"/>
        </w:rPr>
        <w:t xml:space="preserve">Social mobilisation often occurs when societal pressures become such that they are no longer tenable, resulting in unorthodox methods of promoting change. </w:t>
      </w:r>
      <w:r w:rsidR="00AE5BEB" w:rsidRPr="00F927FA">
        <w:rPr>
          <w:sz w:val="24"/>
        </w:rPr>
        <w:t>Social mobilising theory relates to the power of ‘collective action’ and ‘social influence’ in creating change</w:t>
      </w:r>
      <w:r w:rsidR="00AD5E52">
        <w:rPr>
          <w:sz w:val="24"/>
        </w:rPr>
        <w:t>,</w:t>
      </w:r>
      <w:r w:rsidR="00427BFC" w:rsidRPr="00F927FA">
        <w:rPr>
          <w:sz w:val="24"/>
        </w:rPr>
        <w:t xml:space="preserve"> by encouraging individuals to collectively </w:t>
      </w:r>
      <w:r w:rsidR="00F927FA" w:rsidRPr="00F927FA">
        <w:rPr>
          <w:sz w:val="24"/>
        </w:rPr>
        <w:t>work towards change which would not necessarily benefit the individual</w:t>
      </w:r>
      <w:r w:rsidR="00AE5BEB" w:rsidRPr="00F927FA">
        <w:rPr>
          <w:sz w:val="24"/>
        </w:rPr>
        <w:t xml:space="preserve"> </w:t>
      </w:r>
      <w:r w:rsidR="00806574">
        <w:rPr>
          <w:sz w:val="24"/>
        </w:rPr>
        <w:fldChar w:fldCharType="begin"/>
      </w:r>
      <w:r w:rsidR="00806574">
        <w:rPr>
          <w:sz w:val="24"/>
        </w:rPr>
        <w:instrText xml:space="preserve"> ADDIN ZOTERO_ITEM CSL_CITATION {"citationID":"4YFIYHaf","properties":{"formattedCitation":"(Rogers et al. 2017)","plainCitation":"(Rogers et al. 2017)","noteIndex":0},"citationItems":[{"id":70,"uris":["http://zotero.org/users/12977854/items/TY4YV7L9"],"itemData":{"id":70,"type":"article-journal","abstract":"This article reviews research from several behavioral disciplines to derive strategies for prompting people to perform behaviors that are individually costly and provide negligible individual or social beneﬁts but are meaningful when performed by a large number of individuals. Whereas the term social inﬂuence encompasses all the ways in which people inﬂuence other people, social mobilization refers speciﬁcally to principles that can be used to inﬂuence a large number of individuals to participate in such activities. The motivational force of social mobilization is ampliﬁed by the fact that others beneﬁt from the encouraged behaviors, and its overall impact is enhanced by the fact that people are embedded within social networks. This article may be useful to those interested in the provision of public goods, collective action, and prosocial behavior, and we give special attention to ﬁeld experiments on election participation, environmentally sustainable behaviors, and charitable giving.","language":"en","source":"Zotero","title":"Social Mobilization","author":[{"family":"Rogers","given":"Todd"},{"family":"Goldstein","given":"Noah J"},{"family":"Fox","given":"Craig R"}],"issued":{"date-parts":[["2017"]]}}}],"schema":"https://github.com/citation-style-language/schema/raw/master/csl-citation.json"} </w:instrText>
      </w:r>
      <w:r w:rsidR="00806574">
        <w:rPr>
          <w:sz w:val="24"/>
        </w:rPr>
        <w:fldChar w:fldCharType="separate"/>
      </w:r>
      <w:r w:rsidR="00806574" w:rsidRPr="00806574">
        <w:rPr>
          <w:rFonts w:cs="Arial"/>
          <w:sz w:val="24"/>
        </w:rPr>
        <w:t>(Rogers et al. 2017)</w:t>
      </w:r>
      <w:r w:rsidR="00806574">
        <w:rPr>
          <w:sz w:val="24"/>
        </w:rPr>
        <w:fldChar w:fldCharType="end"/>
      </w:r>
      <w:r w:rsidR="00F927FA" w:rsidRPr="00F927FA">
        <w:rPr>
          <w:sz w:val="24"/>
        </w:rPr>
        <w:t xml:space="preserve">. </w:t>
      </w:r>
    </w:p>
    <w:p w:rsidR="00044593" w:rsidRDefault="00044593" w:rsidP="00A96B1E">
      <w:pPr>
        <w:spacing w:line="480" w:lineRule="auto"/>
        <w:rPr>
          <w:sz w:val="24"/>
        </w:rPr>
      </w:pPr>
    </w:p>
    <w:p w:rsidR="00044593" w:rsidRDefault="00B811A4" w:rsidP="00A96B1E">
      <w:pPr>
        <w:spacing w:line="480" w:lineRule="auto"/>
        <w:rPr>
          <w:sz w:val="24"/>
        </w:rPr>
      </w:pPr>
      <w:r>
        <w:rPr>
          <w:sz w:val="24"/>
        </w:rPr>
        <w:t xml:space="preserve">Part of the key to success for social mobilisation is specific, well defined goals with an element of hope, but the ‘output(s) depend on the motivated, committed and voluntary participation of members and supporters’ </w:t>
      </w:r>
      <w:r w:rsidRPr="00DB5A66">
        <w:rPr>
          <w:sz w:val="24"/>
        </w:rPr>
        <w:t xml:space="preserve">(Ganz, 2010, </w:t>
      </w:r>
      <w:r w:rsidR="00806574" w:rsidRPr="00DB5A66">
        <w:rPr>
          <w:sz w:val="24"/>
        </w:rPr>
        <w:t>p</w:t>
      </w:r>
      <w:r w:rsidRPr="00DB5A66">
        <w:rPr>
          <w:sz w:val="24"/>
        </w:rPr>
        <w:t>g2).</w:t>
      </w:r>
      <w:r>
        <w:rPr>
          <w:sz w:val="24"/>
        </w:rPr>
        <w:t xml:space="preserve"> </w:t>
      </w:r>
      <w:r w:rsidR="00F33F72">
        <w:rPr>
          <w:sz w:val="24"/>
        </w:rPr>
        <w:t xml:space="preserve">  </w:t>
      </w:r>
      <w:r w:rsidR="00F927FA" w:rsidRPr="00F927FA">
        <w:rPr>
          <w:sz w:val="24"/>
        </w:rPr>
        <w:t>By encouraging individuals to be committed to ‘the greater good’, this can allow for</w:t>
      </w:r>
      <w:r w:rsidR="00F33F72">
        <w:rPr>
          <w:sz w:val="24"/>
        </w:rPr>
        <w:t xml:space="preserve"> widespread</w:t>
      </w:r>
      <w:r w:rsidR="00F927FA" w:rsidRPr="00F927FA">
        <w:rPr>
          <w:sz w:val="24"/>
        </w:rPr>
        <w:t xml:space="preserve"> </w:t>
      </w:r>
      <w:r w:rsidR="00F33F72">
        <w:rPr>
          <w:sz w:val="24"/>
        </w:rPr>
        <w:t>social movement, with t</w:t>
      </w:r>
      <w:r w:rsidR="00F927FA" w:rsidRPr="00F927FA">
        <w:rPr>
          <w:sz w:val="24"/>
        </w:rPr>
        <w:t>he likelihood of this being successful increased due to</w:t>
      </w:r>
      <w:r w:rsidR="00F33F72">
        <w:rPr>
          <w:sz w:val="24"/>
        </w:rPr>
        <w:t xml:space="preserve"> </w:t>
      </w:r>
      <w:r w:rsidR="00F927FA" w:rsidRPr="00F927FA">
        <w:rPr>
          <w:sz w:val="24"/>
        </w:rPr>
        <w:t xml:space="preserve">personal investment. </w:t>
      </w:r>
      <w:r w:rsidR="0082485B">
        <w:rPr>
          <w:sz w:val="24"/>
        </w:rPr>
        <w:t xml:space="preserve">Key examples of social movements in the last century include the suffragettes, civil rights and </w:t>
      </w:r>
      <w:r w:rsidR="005E57F6">
        <w:rPr>
          <w:sz w:val="24"/>
        </w:rPr>
        <w:lastRenderedPageBreak/>
        <w:t xml:space="preserve">the </w:t>
      </w:r>
      <w:r w:rsidR="00A96B1E">
        <w:rPr>
          <w:sz w:val="24"/>
        </w:rPr>
        <w:t>movement against apartheid in South Africa</w:t>
      </w:r>
      <w:r w:rsidR="0082485B">
        <w:rPr>
          <w:sz w:val="24"/>
        </w:rPr>
        <w:t xml:space="preserve">. </w:t>
      </w:r>
      <w:r w:rsidR="00044593">
        <w:rPr>
          <w:sz w:val="24"/>
        </w:rPr>
        <w:t>Social movements</w:t>
      </w:r>
      <w:r w:rsidR="00A96B1E">
        <w:rPr>
          <w:sz w:val="24"/>
        </w:rPr>
        <w:t>,</w:t>
      </w:r>
      <w:r w:rsidR="00044593">
        <w:rPr>
          <w:sz w:val="24"/>
        </w:rPr>
        <w:t xml:space="preserve"> however</w:t>
      </w:r>
      <w:r w:rsidR="00A96B1E">
        <w:rPr>
          <w:sz w:val="24"/>
        </w:rPr>
        <w:t>,</w:t>
      </w:r>
      <w:r w:rsidR="00044593">
        <w:rPr>
          <w:sz w:val="24"/>
        </w:rPr>
        <w:t xml:space="preserve"> do not always exist for positive causes, and can result in detrimental change within society.  The ‘anti-vax’ movement, based on the publication of data reporting a link between the MMR vaccine and autism in 1998, caused a movement of the public to reject vaccination</w:t>
      </w:r>
      <w:r w:rsidR="005E57F6">
        <w:rPr>
          <w:sz w:val="24"/>
        </w:rPr>
        <w:t xml:space="preserve">, </w:t>
      </w:r>
      <w:r w:rsidR="00044593">
        <w:rPr>
          <w:sz w:val="24"/>
        </w:rPr>
        <w:t>with these outcomes remaining today, even though the work was proven to be falsified</w:t>
      </w:r>
      <w:r w:rsidR="005E57F6">
        <w:rPr>
          <w:sz w:val="24"/>
        </w:rPr>
        <w:t xml:space="preserve"> and later redacted</w:t>
      </w:r>
      <w:r w:rsidR="00A96B1E">
        <w:rPr>
          <w:sz w:val="24"/>
        </w:rPr>
        <w:t>.</w:t>
      </w:r>
      <w:r w:rsidR="00044593">
        <w:rPr>
          <w:sz w:val="24"/>
        </w:rPr>
        <w:t xml:space="preserve"> </w:t>
      </w:r>
      <w:r w:rsidR="00A96B1E">
        <w:rPr>
          <w:sz w:val="24"/>
        </w:rPr>
        <w:t xml:space="preserve">This shows the impact of social movements and how the effects can be longstanding when the message is seen as impactful or controversial. </w:t>
      </w:r>
    </w:p>
    <w:p w:rsidR="00044593" w:rsidRDefault="00044593" w:rsidP="00A96B1E">
      <w:pPr>
        <w:spacing w:line="480" w:lineRule="auto"/>
        <w:rPr>
          <w:sz w:val="24"/>
        </w:rPr>
      </w:pPr>
    </w:p>
    <w:p w:rsidR="00044593" w:rsidRDefault="005562A4" w:rsidP="00A96B1E">
      <w:pPr>
        <w:spacing w:line="480" w:lineRule="auto"/>
        <w:rPr>
          <w:sz w:val="24"/>
        </w:rPr>
      </w:pPr>
      <w:r>
        <w:rPr>
          <w:sz w:val="24"/>
        </w:rPr>
        <w:t xml:space="preserve">Social movements often occur outside of established structures, and </w:t>
      </w:r>
      <w:r w:rsidR="00447C21">
        <w:rPr>
          <w:sz w:val="24"/>
        </w:rPr>
        <w:t xml:space="preserve">examples of </w:t>
      </w:r>
      <w:r>
        <w:rPr>
          <w:sz w:val="24"/>
        </w:rPr>
        <w:t xml:space="preserve">social movements historically within organisations are few </w:t>
      </w:r>
      <w:r w:rsidRPr="00DB5A66">
        <w:rPr>
          <w:sz w:val="24"/>
        </w:rPr>
        <w:t>(</w:t>
      </w:r>
      <w:r w:rsidR="00447C21" w:rsidRPr="00DB5A66">
        <w:rPr>
          <w:sz w:val="24"/>
        </w:rPr>
        <w:t>Boyd et al</w:t>
      </w:r>
      <w:r w:rsidR="00806574" w:rsidRPr="00DB5A66">
        <w:rPr>
          <w:sz w:val="24"/>
        </w:rPr>
        <w:t>.</w:t>
      </w:r>
      <w:r w:rsidR="00447C21" w:rsidRPr="00DB5A66">
        <w:rPr>
          <w:sz w:val="24"/>
        </w:rPr>
        <w:t xml:space="preserve"> 2013, pg21). </w:t>
      </w:r>
      <w:r w:rsidR="00447C21">
        <w:rPr>
          <w:sz w:val="24"/>
        </w:rPr>
        <w:t>Therefore, social movements within organisations such as the NHS</w:t>
      </w:r>
      <w:r w:rsidR="00FD1FA7">
        <w:rPr>
          <w:sz w:val="24"/>
        </w:rPr>
        <w:t>, it could be argued, are not traditional</w:t>
      </w:r>
      <w:r w:rsidR="00447C21">
        <w:rPr>
          <w:sz w:val="24"/>
        </w:rPr>
        <w:t xml:space="preserve"> social movement</w:t>
      </w:r>
      <w:r w:rsidR="00FD1FA7">
        <w:rPr>
          <w:sz w:val="24"/>
        </w:rPr>
        <w:t>s</w:t>
      </w:r>
      <w:r w:rsidR="00447C21">
        <w:rPr>
          <w:sz w:val="24"/>
        </w:rPr>
        <w:t xml:space="preserve"> as </w:t>
      </w:r>
      <w:r w:rsidR="00FD1FA7">
        <w:rPr>
          <w:sz w:val="24"/>
        </w:rPr>
        <w:t>they are</w:t>
      </w:r>
      <w:r w:rsidR="00447C21">
        <w:rPr>
          <w:sz w:val="24"/>
        </w:rPr>
        <w:t xml:space="preserve"> within an ‘institutional structure’ </w:t>
      </w:r>
      <w:r w:rsidR="00447C21" w:rsidRPr="00DB5A66">
        <w:rPr>
          <w:sz w:val="24"/>
        </w:rPr>
        <w:t>(</w:t>
      </w:r>
      <w:r w:rsidR="00806574" w:rsidRPr="00DB5A66">
        <w:rPr>
          <w:sz w:val="24"/>
        </w:rPr>
        <w:t>Boyd et al. 2013,</w:t>
      </w:r>
      <w:r w:rsidR="00806574" w:rsidRPr="00DB5A66">
        <w:rPr>
          <w:sz w:val="24"/>
        </w:rPr>
        <w:t xml:space="preserve"> p</w:t>
      </w:r>
      <w:r w:rsidR="00447C21" w:rsidRPr="00DB5A66">
        <w:rPr>
          <w:sz w:val="24"/>
        </w:rPr>
        <w:t>g21)</w:t>
      </w:r>
      <w:r w:rsidR="00044593" w:rsidRPr="00DB5A66">
        <w:rPr>
          <w:sz w:val="24"/>
        </w:rPr>
        <w:t>.</w:t>
      </w:r>
      <w:r w:rsidR="00044593">
        <w:rPr>
          <w:sz w:val="24"/>
        </w:rPr>
        <w:t xml:space="preserve"> </w:t>
      </w:r>
      <w:r w:rsidR="00FD1FA7">
        <w:rPr>
          <w:sz w:val="24"/>
        </w:rPr>
        <w:t xml:space="preserve">However, social movements can ‘combine outsider and insider efforts’ in institutions to ‘interact and influence each other, collectively producing change’ and therefore social movement within the healthcare setting can be seen as an effective way to ‘assert new visions and disrupt or directly contest existing arrangements’. </w:t>
      </w:r>
      <w:r w:rsidR="00806574">
        <w:rPr>
          <w:sz w:val="24"/>
        </w:rPr>
        <w:fldChar w:fldCharType="begin"/>
      </w:r>
      <w:r w:rsidR="00806574">
        <w:rPr>
          <w:sz w:val="24"/>
        </w:rPr>
        <w:instrText xml:space="preserve"> ADDIN ZOTERO_ITEM CSL_CITATION {"citationID":"xuh3MIrx","properties":{"formattedCitation":"(Schneiberg and Lounsbury 2017)","plainCitation":"(Schneiberg and Lounsbury 2017)","noteIndex":0},"citationItems":[{"id":105,"uris":["http://zotero.org/users/12977854/items/3QETC2Q6"],"itemData":{"id":105,"type":"chapter","container-title":"The SAGE Handbook of Organizational Institutionalism","event-place":"1 Oliver's Yard, 55 City Road London EC1Y 1SP","ISBN":"978-1-4129-4129-7","language":"en","note":"DOI: 10.4135/9781446280669.n12","page":"281-310","publisher":"SAGE Publications Ltd","publisher-place":"1 Oliver's Yard, 55 City Road London EC1Y 1SP","source":"DOI.org (Crossref)","title":"Social Movements and the Dynamics of Institutions and Organizations","URL":"https://sk.sagepub.com/reference/sage-handbook-of-organizational-institutionalism-2e/i2253.xml","container-author":[{"family":"Greenwood","given":"Royston"},{"family":"Oliver","given":"Christine"},{"family":"Lawrence","given":"Thomas"},{"family":"Meyer","given":"Renate"}],"author":[{"family":"Schneiberg","given":"Marc"},{"family":"Lounsbury","given":"Michael"}],"accessed":{"date-parts":[["2024",1,20]]},"issued":{"date-parts":[["2017"]]}}}],"schema":"https://github.com/citation-style-language/schema/raw/master/csl-citation.json"} </w:instrText>
      </w:r>
      <w:r w:rsidR="00806574">
        <w:rPr>
          <w:sz w:val="24"/>
        </w:rPr>
        <w:fldChar w:fldCharType="separate"/>
      </w:r>
      <w:r w:rsidR="00806574" w:rsidRPr="00806574">
        <w:rPr>
          <w:rFonts w:cs="Arial"/>
          <w:sz w:val="24"/>
        </w:rPr>
        <w:t>(Schneiberg and Lounsbury 2017</w:t>
      </w:r>
      <w:r w:rsidR="00806574">
        <w:rPr>
          <w:rFonts w:cs="Arial"/>
          <w:sz w:val="24"/>
        </w:rPr>
        <w:t>, pg238</w:t>
      </w:r>
      <w:r w:rsidR="00806574" w:rsidRPr="00806574">
        <w:rPr>
          <w:rFonts w:cs="Arial"/>
          <w:sz w:val="24"/>
        </w:rPr>
        <w:t>)</w:t>
      </w:r>
      <w:r w:rsidR="00806574">
        <w:rPr>
          <w:sz w:val="24"/>
        </w:rPr>
        <w:fldChar w:fldCharType="end"/>
      </w:r>
      <w:r w:rsidR="00806574">
        <w:rPr>
          <w:sz w:val="24"/>
        </w:rPr>
        <w:t>.</w:t>
      </w:r>
      <w:r w:rsidR="005E57F6">
        <w:rPr>
          <w:sz w:val="24"/>
        </w:rPr>
        <w:t xml:space="preserve"> Outsider efforts could be seen to be people outside of your immediate work environment or specialism, such as healthcare scientists across multiple disciplines.</w:t>
      </w:r>
    </w:p>
    <w:p w:rsidR="00044593" w:rsidRDefault="00044593" w:rsidP="00A96B1E">
      <w:pPr>
        <w:spacing w:line="480" w:lineRule="auto"/>
        <w:rPr>
          <w:sz w:val="24"/>
        </w:rPr>
      </w:pPr>
    </w:p>
    <w:p w:rsidR="00044593" w:rsidRDefault="0082485B" w:rsidP="00A96B1E">
      <w:pPr>
        <w:spacing w:line="480" w:lineRule="auto"/>
        <w:rPr>
          <w:sz w:val="24"/>
        </w:rPr>
      </w:pPr>
      <w:r>
        <w:rPr>
          <w:sz w:val="24"/>
        </w:rPr>
        <w:t xml:space="preserve">Marshall </w:t>
      </w:r>
      <w:r w:rsidR="00370DE3">
        <w:rPr>
          <w:sz w:val="24"/>
        </w:rPr>
        <w:t>Ganz</w:t>
      </w:r>
      <w:r>
        <w:rPr>
          <w:sz w:val="24"/>
        </w:rPr>
        <w:t>, a prominent academic in the field of social mobilising theory,</w:t>
      </w:r>
      <w:r w:rsidR="00370DE3">
        <w:rPr>
          <w:sz w:val="24"/>
        </w:rPr>
        <w:t xml:space="preserve"> </w:t>
      </w:r>
      <w:r w:rsidR="00FF6B9F">
        <w:rPr>
          <w:sz w:val="24"/>
        </w:rPr>
        <w:t xml:space="preserve">describes ‘framing, public narrative, mobilising and organising’ as the ‘four key components of social mobilising and organising’ </w:t>
      </w:r>
      <w:r w:rsidR="00FF6B9F" w:rsidRPr="00DB5A66">
        <w:rPr>
          <w:sz w:val="24"/>
        </w:rPr>
        <w:t>(Boyd et al</w:t>
      </w:r>
      <w:r w:rsidR="00DB5A66">
        <w:rPr>
          <w:sz w:val="24"/>
        </w:rPr>
        <w:t>.</w:t>
      </w:r>
      <w:r w:rsidR="00FF6B9F" w:rsidRPr="00DB5A66">
        <w:rPr>
          <w:sz w:val="24"/>
        </w:rPr>
        <w:t xml:space="preserve"> 2013, pg17).</w:t>
      </w:r>
    </w:p>
    <w:p w:rsidR="00044593" w:rsidRDefault="004C1098" w:rsidP="00A96B1E">
      <w:pPr>
        <w:spacing w:line="480" w:lineRule="auto"/>
        <w:rPr>
          <w:rFonts w:cs="Arial"/>
          <w:sz w:val="24"/>
        </w:rPr>
      </w:pPr>
      <w:r>
        <w:rPr>
          <w:sz w:val="24"/>
        </w:rPr>
        <w:lastRenderedPageBreak/>
        <w:t>Framing and public narrative are similar in that they are designed to engage individuals with the narrative (i.e. the call to action) and are used to pull together a group of individuals by emotional ‘by-in’, in order to gain a large number of participants and use this momentum to push forward action to</w:t>
      </w:r>
      <w:r w:rsidR="00B54951">
        <w:rPr>
          <w:sz w:val="24"/>
        </w:rPr>
        <w:t xml:space="preserve">wards </w:t>
      </w:r>
      <w:r>
        <w:rPr>
          <w:sz w:val="24"/>
        </w:rPr>
        <w:t>achiev</w:t>
      </w:r>
      <w:r w:rsidR="00B54951">
        <w:rPr>
          <w:sz w:val="24"/>
        </w:rPr>
        <w:t>ing</w:t>
      </w:r>
      <w:r>
        <w:rPr>
          <w:sz w:val="24"/>
        </w:rPr>
        <w:t xml:space="preserve"> the end goal (mobilising). </w:t>
      </w:r>
      <w:r w:rsidR="00F016C2" w:rsidRPr="00715CC5">
        <w:rPr>
          <w:sz w:val="24"/>
        </w:rPr>
        <w:t>Th</w:t>
      </w:r>
      <w:r w:rsidR="00077DF9">
        <w:rPr>
          <w:sz w:val="24"/>
        </w:rPr>
        <w:t>e</w:t>
      </w:r>
      <w:r w:rsidR="00F016C2" w:rsidRPr="00715CC5">
        <w:rPr>
          <w:sz w:val="24"/>
        </w:rPr>
        <w:t xml:space="preserve"> element of personal storytelling is a powerful narrative in engaging individuals in being emotionally invested in a cause which may otherwise not be personally relevant or important to them. </w:t>
      </w:r>
      <w:r w:rsidR="00ED54B8" w:rsidRPr="00ED54B8">
        <w:rPr>
          <w:sz w:val="24"/>
        </w:rPr>
        <w:t>As quoted in ‘Organising care around patients’</w:t>
      </w:r>
      <w:r w:rsidR="00806574">
        <w:rPr>
          <w:sz w:val="24"/>
        </w:rPr>
        <w:t xml:space="preserve"> </w:t>
      </w:r>
      <w:r w:rsidR="00ED54B8" w:rsidRPr="007E627A">
        <w:rPr>
          <w:sz w:val="24"/>
        </w:rPr>
        <w:t>(Chambers &amp; Taylor</w:t>
      </w:r>
      <w:r w:rsidR="007E627A" w:rsidRPr="007E627A">
        <w:rPr>
          <w:sz w:val="24"/>
        </w:rPr>
        <w:t>,</w:t>
      </w:r>
      <w:r w:rsidR="00ED54B8" w:rsidRPr="007E627A">
        <w:rPr>
          <w:sz w:val="24"/>
        </w:rPr>
        <w:t xml:space="preserve"> 2021, pg19) </w:t>
      </w:r>
      <w:r w:rsidR="00ED54B8">
        <w:rPr>
          <w:sz w:val="24"/>
        </w:rPr>
        <w:t>from Ganz (2008)</w:t>
      </w:r>
      <w:r w:rsidR="00ED54B8" w:rsidRPr="00ED54B8">
        <w:rPr>
          <w:sz w:val="24"/>
        </w:rPr>
        <w:t>:</w:t>
      </w:r>
      <w:r w:rsidR="00ED54B8">
        <w:rPr>
          <w:sz w:val="24"/>
        </w:rPr>
        <w:t xml:space="preserve"> </w:t>
      </w:r>
      <w:r w:rsidR="00F016C2">
        <w:rPr>
          <w:sz w:val="24"/>
        </w:rPr>
        <w:t>‘</w:t>
      </w:r>
      <w:r w:rsidR="00DD78D7" w:rsidRPr="003D0F18">
        <w:rPr>
          <w:rFonts w:cs="Arial"/>
          <w:sz w:val="24"/>
          <w:lang w:eastAsia="en-GB"/>
        </w:rPr>
        <w:t>A story is like a poem. It moves not by how long it is, nor how eloquent or</w:t>
      </w:r>
      <w:r w:rsidR="00ED54B8" w:rsidRPr="003D0F18">
        <w:rPr>
          <w:rFonts w:cs="Arial"/>
          <w:sz w:val="24"/>
          <w:lang w:eastAsia="en-GB"/>
        </w:rPr>
        <w:t xml:space="preserve"> </w:t>
      </w:r>
      <w:r w:rsidR="00DD78D7" w:rsidRPr="003D0F18">
        <w:rPr>
          <w:rFonts w:cs="Arial"/>
          <w:sz w:val="24"/>
          <w:lang w:eastAsia="en-GB"/>
        </w:rPr>
        <w:t>complicated.  It moves by offering an experience or moment through which we grasp the feeling or insight the poet communicates. The more specific the details we choose to recount, the more we can move our listeners, the more powerfully we can articulate our values</w:t>
      </w:r>
      <w:r w:rsidR="00ED54B8" w:rsidRPr="00F016C2">
        <w:rPr>
          <w:rFonts w:cs="Arial"/>
          <w:i/>
          <w:sz w:val="24"/>
          <w:lang w:eastAsia="en-GB"/>
        </w:rPr>
        <w:t>.</w:t>
      </w:r>
      <w:r w:rsidR="00F016C2">
        <w:rPr>
          <w:rFonts w:cs="Arial"/>
          <w:i/>
          <w:sz w:val="24"/>
          <w:lang w:eastAsia="en-GB"/>
        </w:rPr>
        <w:t>’</w:t>
      </w:r>
      <w:r w:rsidR="00ED54B8" w:rsidRPr="00F016C2">
        <w:rPr>
          <w:rFonts w:cs="Arial"/>
          <w:i/>
          <w:sz w:val="24"/>
        </w:rPr>
        <w:t xml:space="preserve"> </w:t>
      </w:r>
      <w:r w:rsidR="00AE75FF">
        <w:rPr>
          <w:rFonts w:cs="Arial"/>
          <w:sz w:val="24"/>
        </w:rPr>
        <w:t xml:space="preserve"> </w:t>
      </w:r>
    </w:p>
    <w:p w:rsidR="00044593" w:rsidRDefault="00044593" w:rsidP="00A96B1E">
      <w:pPr>
        <w:spacing w:line="480" w:lineRule="auto"/>
        <w:rPr>
          <w:rFonts w:cs="Arial"/>
          <w:sz w:val="24"/>
        </w:rPr>
      </w:pPr>
    </w:p>
    <w:p w:rsidR="00447C21" w:rsidRDefault="004C1098" w:rsidP="00A96B1E">
      <w:pPr>
        <w:spacing w:line="480" w:lineRule="auto"/>
        <w:rPr>
          <w:sz w:val="24"/>
        </w:rPr>
      </w:pPr>
      <w:r>
        <w:rPr>
          <w:rFonts w:cs="Arial"/>
          <w:sz w:val="24"/>
        </w:rPr>
        <w:t xml:space="preserve">Organising </w:t>
      </w:r>
      <w:r w:rsidR="00B54951">
        <w:rPr>
          <w:rFonts w:cs="Arial"/>
          <w:sz w:val="24"/>
        </w:rPr>
        <w:t>focusses heavily on leadership to drive forward the momentum and passion which has been harnessed ‘into purposeful and effective action’ (</w:t>
      </w:r>
      <w:r w:rsidR="00806574" w:rsidRPr="00DB5A66">
        <w:rPr>
          <w:sz w:val="24"/>
        </w:rPr>
        <w:t>Boyd et al. 2013,</w:t>
      </w:r>
      <w:r w:rsidR="00806574" w:rsidRPr="00DB5A66">
        <w:rPr>
          <w:sz w:val="24"/>
        </w:rPr>
        <w:t xml:space="preserve"> </w:t>
      </w:r>
      <w:r w:rsidR="00B54951">
        <w:rPr>
          <w:rFonts w:cs="Arial"/>
          <w:sz w:val="24"/>
        </w:rPr>
        <w:t xml:space="preserve">pg19). </w:t>
      </w:r>
      <w:r w:rsidR="00447C21">
        <w:rPr>
          <w:sz w:val="24"/>
        </w:rPr>
        <w:t>Leadership is a key element of the success of a call to action, with the model of a</w:t>
      </w:r>
      <w:r w:rsidR="004B3F4B">
        <w:rPr>
          <w:sz w:val="24"/>
        </w:rPr>
        <w:t>n</w:t>
      </w:r>
      <w:r w:rsidR="00447C21">
        <w:rPr>
          <w:sz w:val="24"/>
        </w:rPr>
        <w:t xml:space="preserve"> authoritative, commanding leader actually detrimental to the success of the movement; leadership at all levels, utilising soft power and distribution of roles, is a more effective model (</w:t>
      </w:r>
      <w:r w:rsidR="00806574" w:rsidRPr="00DB5A66">
        <w:rPr>
          <w:sz w:val="24"/>
        </w:rPr>
        <w:t>Boyd et al. 2013</w:t>
      </w:r>
      <w:r w:rsidR="00447C21" w:rsidRPr="00DB5A66">
        <w:rPr>
          <w:sz w:val="24"/>
        </w:rPr>
        <w:t>).</w:t>
      </w:r>
      <w:r w:rsidR="00447C21">
        <w:rPr>
          <w:sz w:val="24"/>
        </w:rPr>
        <w:t xml:space="preserve"> </w:t>
      </w:r>
    </w:p>
    <w:p w:rsidR="004C1098" w:rsidRDefault="004C1098" w:rsidP="00A96B1E">
      <w:pPr>
        <w:spacing w:line="480" w:lineRule="auto"/>
        <w:rPr>
          <w:sz w:val="24"/>
        </w:rPr>
      </w:pPr>
    </w:p>
    <w:p w:rsidR="00D83E42" w:rsidRDefault="004C1098" w:rsidP="00A96B1E">
      <w:pPr>
        <w:spacing w:line="480" w:lineRule="auto"/>
        <w:rPr>
          <w:sz w:val="24"/>
        </w:rPr>
      </w:pPr>
      <w:r>
        <w:rPr>
          <w:sz w:val="24"/>
        </w:rPr>
        <w:t>A</w:t>
      </w:r>
      <w:r w:rsidR="00715CC5" w:rsidRPr="00715CC5">
        <w:rPr>
          <w:sz w:val="24"/>
        </w:rPr>
        <w:t xml:space="preserve"> current example of </w:t>
      </w:r>
      <w:r>
        <w:rPr>
          <w:sz w:val="24"/>
        </w:rPr>
        <w:t xml:space="preserve">powerful public narrative </w:t>
      </w:r>
      <w:r w:rsidR="00715CC5" w:rsidRPr="00715CC5">
        <w:rPr>
          <w:sz w:val="24"/>
        </w:rPr>
        <w:t>is ‘The Post Office Scandal’; th</w:t>
      </w:r>
      <w:r w:rsidR="00AE75FF">
        <w:rPr>
          <w:sz w:val="24"/>
        </w:rPr>
        <w:t xml:space="preserve">e scandal itself </w:t>
      </w:r>
      <w:r w:rsidR="00715CC5" w:rsidRPr="00715CC5">
        <w:rPr>
          <w:sz w:val="24"/>
        </w:rPr>
        <w:t xml:space="preserve">occurred a number of years ago </w:t>
      </w:r>
      <w:r w:rsidR="006A60EF">
        <w:rPr>
          <w:sz w:val="24"/>
        </w:rPr>
        <w:t xml:space="preserve">to a relatively small number </w:t>
      </w:r>
      <w:r w:rsidR="006A60EF">
        <w:rPr>
          <w:sz w:val="24"/>
        </w:rPr>
        <w:lastRenderedPageBreak/>
        <w:t>of individuals</w:t>
      </w:r>
      <w:r w:rsidR="00AE75FF">
        <w:rPr>
          <w:sz w:val="24"/>
        </w:rPr>
        <w:t>,</w:t>
      </w:r>
      <w:r w:rsidR="006A60EF">
        <w:rPr>
          <w:sz w:val="24"/>
        </w:rPr>
        <w:t xml:space="preserve"> </w:t>
      </w:r>
      <w:r w:rsidR="00715CC5" w:rsidRPr="00715CC5">
        <w:rPr>
          <w:sz w:val="24"/>
        </w:rPr>
        <w:t>with little public interest or inv</w:t>
      </w:r>
      <w:r w:rsidR="00715CC5">
        <w:rPr>
          <w:sz w:val="24"/>
        </w:rPr>
        <w:t>olvement</w:t>
      </w:r>
      <w:r w:rsidR="00F016C2">
        <w:rPr>
          <w:sz w:val="24"/>
        </w:rPr>
        <w:t xml:space="preserve"> at the time.  H</w:t>
      </w:r>
      <w:r w:rsidR="00715CC5" w:rsidRPr="00715CC5">
        <w:rPr>
          <w:sz w:val="24"/>
        </w:rPr>
        <w:t>owever</w:t>
      </w:r>
      <w:r w:rsidR="00F016C2">
        <w:rPr>
          <w:sz w:val="24"/>
        </w:rPr>
        <w:t>,</w:t>
      </w:r>
      <w:r w:rsidR="00715CC5" w:rsidRPr="00715CC5">
        <w:rPr>
          <w:sz w:val="24"/>
        </w:rPr>
        <w:t xml:space="preserve"> a television </w:t>
      </w:r>
      <w:r w:rsidR="00D77AE8">
        <w:rPr>
          <w:sz w:val="24"/>
        </w:rPr>
        <w:t>drama</w:t>
      </w:r>
      <w:r w:rsidR="00715CC5" w:rsidRPr="00715CC5">
        <w:rPr>
          <w:sz w:val="24"/>
        </w:rPr>
        <w:t xml:space="preserve"> </w:t>
      </w:r>
      <w:r w:rsidR="00AE75FF">
        <w:rPr>
          <w:sz w:val="24"/>
        </w:rPr>
        <w:t xml:space="preserve">has provided a platform for storytelling, which has created a public movement with calls for </w:t>
      </w:r>
      <w:r w:rsidR="00715CC5" w:rsidRPr="00715CC5">
        <w:rPr>
          <w:sz w:val="24"/>
        </w:rPr>
        <w:t xml:space="preserve">exoneration of individuals involved who had been </w:t>
      </w:r>
      <w:r w:rsidR="00715CC5">
        <w:rPr>
          <w:sz w:val="24"/>
        </w:rPr>
        <w:t xml:space="preserve">wrongly </w:t>
      </w:r>
      <w:r w:rsidR="00715CC5" w:rsidRPr="00715CC5">
        <w:rPr>
          <w:sz w:val="24"/>
        </w:rPr>
        <w:t xml:space="preserve">criminally prosecuted for fraud.  </w:t>
      </w:r>
      <w:r w:rsidR="00715CC5">
        <w:rPr>
          <w:sz w:val="24"/>
        </w:rPr>
        <w:t xml:space="preserve">This story does not impact the wider public in any way in terms of personal </w:t>
      </w:r>
      <w:r w:rsidR="00AE75FF">
        <w:rPr>
          <w:sz w:val="24"/>
        </w:rPr>
        <w:t xml:space="preserve">or financial </w:t>
      </w:r>
      <w:r w:rsidR="006A60EF">
        <w:rPr>
          <w:sz w:val="24"/>
        </w:rPr>
        <w:t>gain</w:t>
      </w:r>
      <w:r w:rsidR="00715CC5">
        <w:rPr>
          <w:sz w:val="24"/>
        </w:rPr>
        <w:t>, but th</w:t>
      </w:r>
      <w:r w:rsidR="00F016C2">
        <w:rPr>
          <w:sz w:val="24"/>
        </w:rPr>
        <w:t xml:space="preserve">e powerful storytelling involved has </w:t>
      </w:r>
      <w:r w:rsidR="00AE75FF">
        <w:rPr>
          <w:sz w:val="24"/>
        </w:rPr>
        <w:t>created emotional i</w:t>
      </w:r>
      <w:r w:rsidR="00715CC5">
        <w:rPr>
          <w:sz w:val="24"/>
        </w:rPr>
        <w:t>nvestment</w:t>
      </w:r>
      <w:r w:rsidR="00AE75FF">
        <w:rPr>
          <w:sz w:val="24"/>
        </w:rPr>
        <w:t>, and in turn social movement,</w:t>
      </w:r>
      <w:r w:rsidR="00715CC5">
        <w:rPr>
          <w:sz w:val="24"/>
        </w:rPr>
        <w:t xml:space="preserve"> of </w:t>
      </w:r>
      <w:r w:rsidR="00AE75FF">
        <w:rPr>
          <w:sz w:val="24"/>
        </w:rPr>
        <w:t xml:space="preserve">the British public; this has resulted in significant pressure on public figures and political parties, </w:t>
      </w:r>
      <w:r w:rsidR="00715CC5">
        <w:rPr>
          <w:sz w:val="24"/>
        </w:rPr>
        <w:t>with the</w:t>
      </w:r>
      <w:r w:rsidR="00F016C2">
        <w:rPr>
          <w:sz w:val="24"/>
        </w:rPr>
        <w:t xml:space="preserve"> </w:t>
      </w:r>
      <w:r w:rsidR="00715CC5">
        <w:rPr>
          <w:sz w:val="24"/>
        </w:rPr>
        <w:t>Prime Minister now involved</w:t>
      </w:r>
      <w:r w:rsidR="00F016C2">
        <w:rPr>
          <w:sz w:val="24"/>
        </w:rPr>
        <w:t xml:space="preserve"> in pushing forward the exoneratio</w:t>
      </w:r>
      <w:r w:rsidR="00AE75FF">
        <w:rPr>
          <w:sz w:val="24"/>
        </w:rPr>
        <w:t>n of the post office staff</w:t>
      </w:r>
      <w:r w:rsidR="00715CC5">
        <w:rPr>
          <w:sz w:val="24"/>
        </w:rPr>
        <w:t>.</w:t>
      </w:r>
    </w:p>
    <w:p w:rsidR="00C73928" w:rsidRDefault="00C73928" w:rsidP="00A96B1E">
      <w:pPr>
        <w:spacing w:line="480" w:lineRule="auto"/>
      </w:pPr>
    </w:p>
    <w:p w:rsidR="00C73928" w:rsidRDefault="00C005F8" w:rsidP="00A96B1E">
      <w:pPr>
        <w:spacing w:line="480" w:lineRule="auto"/>
        <w:rPr>
          <w:rFonts w:cs="Arial"/>
          <w:color w:val="000000" w:themeColor="text1"/>
          <w:sz w:val="24"/>
          <w:shd w:val="clear" w:color="auto" w:fill="FFFFFF"/>
        </w:rPr>
      </w:pPr>
      <w:r w:rsidRPr="00223C95">
        <w:rPr>
          <w:sz w:val="24"/>
        </w:rPr>
        <w:t>A further example</w:t>
      </w:r>
      <w:r w:rsidR="00CD2EC3">
        <w:rPr>
          <w:sz w:val="24"/>
        </w:rPr>
        <w:t xml:space="preserve"> of the efficacy of social movements</w:t>
      </w:r>
      <w:r w:rsidR="00077DF9">
        <w:rPr>
          <w:sz w:val="24"/>
        </w:rPr>
        <w:t>, specifically</w:t>
      </w:r>
      <w:r w:rsidRPr="00223C95">
        <w:rPr>
          <w:sz w:val="24"/>
        </w:rPr>
        <w:t xml:space="preserve"> i</w:t>
      </w:r>
      <w:r w:rsidR="00F016C2">
        <w:rPr>
          <w:sz w:val="24"/>
        </w:rPr>
        <w:t>n healthcare</w:t>
      </w:r>
      <w:r w:rsidR="00077DF9">
        <w:rPr>
          <w:sz w:val="24"/>
        </w:rPr>
        <w:t>,</w:t>
      </w:r>
      <w:r w:rsidR="00F016C2">
        <w:rPr>
          <w:sz w:val="24"/>
        </w:rPr>
        <w:t xml:space="preserve"> i</w:t>
      </w:r>
      <w:r w:rsidRPr="00223C95">
        <w:rPr>
          <w:sz w:val="24"/>
        </w:rPr>
        <w:t xml:space="preserve">s the </w:t>
      </w:r>
      <w:r w:rsidR="00CD2EC3">
        <w:rPr>
          <w:sz w:val="24"/>
        </w:rPr>
        <w:t>‘</w:t>
      </w:r>
      <w:r w:rsidRPr="00223C95">
        <w:rPr>
          <w:sz w:val="24"/>
        </w:rPr>
        <w:t>100</w:t>
      </w:r>
      <w:r w:rsidR="00223C95" w:rsidRPr="00223C95">
        <w:rPr>
          <w:sz w:val="24"/>
        </w:rPr>
        <w:t>,000 Lives</w:t>
      </w:r>
      <w:r w:rsidR="00CD2EC3">
        <w:rPr>
          <w:sz w:val="24"/>
        </w:rPr>
        <w:t>’</w:t>
      </w:r>
      <w:r w:rsidR="00223C95" w:rsidRPr="00223C95">
        <w:rPr>
          <w:sz w:val="24"/>
        </w:rPr>
        <w:t xml:space="preserve"> Campaign</w:t>
      </w:r>
      <w:r w:rsidR="00CD2EC3">
        <w:rPr>
          <w:sz w:val="24"/>
        </w:rPr>
        <w:t xml:space="preserve"> in the US</w:t>
      </w:r>
      <w:r w:rsidR="00077DF9">
        <w:rPr>
          <w:sz w:val="24"/>
        </w:rPr>
        <w:t xml:space="preserve">. </w:t>
      </w:r>
      <w:r w:rsidR="00223C95" w:rsidRPr="00223C95">
        <w:rPr>
          <w:sz w:val="24"/>
        </w:rPr>
        <w:t xml:space="preserve"> The ‘cri de coeur’ (translation from French being ‘a passionate appeal, complaint or protest’) was as follows: </w:t>
      </w:r>
      <w:r w:rsidR="00223C95" w:rsidRPr="00223C95">
        <w:rPr>
          <w:i/>
          <w:color w:val="000000" w:themeColor="text1"/>
          <w:sz w:val="24"/>
        </w:rPr>
        <w:t>‘</w:t>
      </w:r>
      <w:r w:rsidR="00223C95" w:rsidRPr="00223C95">
        <w:rPr>
          <w:rFonts w:cs="Arial"/>
          <w:i/>
          <w:color w:val="000000" w:themeColor="text1"/>
          <w:sz w:val="24"/>
          <w:shd w:val="clear" w:color="auto" w:fill="FFFFFF"/>
        </w:rPr>
        <w:t>Some is not a number. Soon is not a time.’</w:t>
      </w:r>
      <w:r w:rsidR="00223C95">
        <w:rPr>
          <w:rFonts w:cs="Arial"/>
          <w:color w:val="000000" w:themeColor="text1"/>
          <w:sz w:val="24"/>
          <w:shd w:val="clear" w:color="auto" w:fill="FFFFFF"/>
        </w:rPr>
        <w:t xml:space="preserve">, with a specific goal of preventing 100,000 needless deaths by June 14, 2006 (an 18-month window) </w:t>
      </w:r>
      <w:r w:rsidR="00223C95" w:rsidRPr="00DB5A66">
        <w:rPr>
          <w:rFonts w:cs="Arial"/>
          <w:color w:val="000000" w:themeColor="text1"/>
          <w:sz w:val="24"/>
          <w:shd w:val="clear" w:color="auto" w:fill="FFFFFF"/>
        </w:rPr>
        <w:t>(IHI, 2006).</w:t>
      </w:r>
      <w:r w:rsidR="00223C95">
        <w:rPr>
          <w:rFonts w:cs="Arial"/>
          <w:color w:val="000000" w:themeColor="text1"/>
          <w:sz w:val="24"/>
          <w:shd w:val="clear" w:color="auto" w:fill="FFFFFF"/>
        </w:rPr>
        <w:t xml:space="preserve">  Th</w:t>
      </w:r>
      <w:r w:rsidR="00027630">
        <w:rPr>
          <w:rFonts w:cs="Arial"/>
          <w:color w:val="000000" w:themeColor="text1"/>
          <w:sz w:val="24"/>
          <w:shd w:val="clear" w:color="auto" w:fill="FFFFFF"/>
        </w:rPr>
        <w:t>e</w:t>
      </w:r>
      <w:r w:rsidR="00223C95">
        <w:rPr>
          <w:rFonts w:cs="Arial"/>
          <w:color w:val="000000" w:themeColor="text1"/>
          <w:sz w:val="24"/>
          <w:shd w:val="clear" w:color="auto" w:fill="FFFFFF"/>
        </w:rPr>
        <w:t xml:space="preserve"> specificity </w:t>
      </w:r>
      <w:r w:rsidR="00027630">
        <w:rPr>
          <w:rFonts w:cs="Arial"/>
          <w:color w:val="000000" w:themeColor="text1"/>
          <w:sz w:val="24"/>
          <w:shd w:val="clear" w:color="auto" w:fill="FFFFFF"/>
        </w:rPr>
        <w:t>of the goal and timing</w:t>
      </w:r>
      <w:r w:rsidR="00CD2EC3">
        <w:rPr>
          <w:rFonts w:cs="Arial"/>
          <w:color w:val="000000" w:themeColor="text1"/>
          <w:sz w:val="24"/>
          <w:shd w:val="clear" w:color="auto" w:fill="FFFFFF"/>
        </w:rPr>
        <w:t xml:space="preserve"> encourages participation by giving</w:t>
      </w:r>
      <w:r w:rsidR="00027630">
        <w:rPr>
          <w:rFonts w:cs="Arial"/>
          <w:color w:val="000000" w:themeColor="text1"/>
          <w:sz w:val="24"/>
          <w:shd w:val="clear" w:color="auto" w:fill="FFFFFF"/>
        </w:rPr>
        <w:t xml:space="preserve"> the call a sense of urgency and mak</w:t>
      </w:r>
      <w:r w:rsidR="00CD2EC3">
        <w:rPr>
          <w:rFonts w:cs="Arial"/>
          <w:color w:val="000000" w:themeColor="text1"/>
          <w:sz w:val="24"/>
          <w:shd w:val="clear" w:color="auto" w:fill="FFFFFF"/>
        </w:rPr>
        <w:t>ing</w:t>
      </w:r>
      <w:r w:rsidR="00027630">
        <w:rPr>
          <w:rFonts w:cs="Arial"/>
          <w:color w:val="000000" w:themeColor="text1"/>
          <w:sz w:val="24"/>
          <w:shd w:val="clear" w:color="auto" w:fill="FFFFFF"/>
        </w:rPr>
        <w:t xml:space="preserve"> the success quantifiable</w:t>
      </w:r>
      <w:r w:rsidR="00CD2EC3">
        <w:rPr>
          <w:rFonts w:cs="Arial"/>
          <w:color w:val="000000" w:themeColor="text1"/>
          <w:sz w:val="24"/>
          <w:shd w:val="clear" w:color="auto" w:fill="FFFFFF"/>
        </w:rPr>
        <w:t>.</w:t>
      </w:r>
      <w:r w:rsidR="005E57F6">
        <w:rPr>
          <w:rFonts w:cs="Arial"/>
          <w:color w:val="000000" w:themeColor="text1"/>
          <w:sz w:val="24"/>
          <w:shd w:val="clear" w:color="auto" w:fill="FFFFFF"/>
        </w:rPr>
        <w:t xml:space="preserve">  In order to </w:t>
      </w:r>
      <w:r w:rsidR="00014E4F">
        <w:rPr>
          <w:rFonts w:cs="Arial"/>
          <w:color w:val="000000" w:themeColor="text1"/>
          <w:sz w:val="24"/>
          <w:shd w:val="clear" w:color="auto" w:fill="FFFFFF"/>
        </w:rPr>
        <w:t xml:space="preserve">evaluate </w:t>
      </w:r>
      <w:r w:rsidR="005E57F6">
        <w:rPr>
          <w:rFonts w:cs="Arial"/>
          <w:color w:val="000000" w:themeColor="text1"/>
          <w:sz w:val="24"/>
          <w:shd w:val="clear" w:color="auto" w:fill="FFFFFF"/>
        </w:rPr>
        <w:t xml:space="preserve">the success of </w:t>
      </w:r>
      <w:r w:rsidR="00014E4F">
        <w:rPr>
          <w:rFonts w:cs="Arial"/>
          <w:color w:val="000000" w:themeColor="text1"/>
          <w:sz w:val="24"/>
          <w:shd w:val="clear" w:color="auto" w:fill="FFFFFF"/>
        </w:rPr>
        <w:t>a social</w:t>
      </w:r>
      <w:r w:rsidR="005E57F6">
        <w:rPr>
          <w:rFonts w:cs="Arial"/>
          <w:color w:val="000000" w:themeColor="text1"/>
          <w:sz w:val="24"/>
          <w:shd w:val="clear" w:color="auto" w:fill="FFFFFF"/>
        </w:rPr>
        <w:t xml:space="preserve"> movement, it is important to reflect on what has been achieved and </w:t>
      </w:r>
      <w:r w:rsidR="00014E4F">
        <w:rPr>
          <w:rFonts w:cs="Arial"/>
          <w:color w:val="000000" w:themeColor="text1"/>
          <w:sz w:val="24"/>
          <w:shd w:val="clear" w:color="auto" w:fill="FFFFFF"/>
        </w:rPr>
        <w:t xml:space="preserve">whether it has ‘fulfilled one’s stated demands’ </w:t>
      </w:r>
      <w:r w:rsidR="000C669B">
        <w:rPr>
          <w:rFonts w:cs="Arial"/>
          <w:color w:val="000000" w:themeColor="text1"/>
          <w:sz w:val="24"/>
          <w:shd w:val="clear" w:color="auto" w:fill="FFFFFF"/>
        </w:rPr>
        <w:fldChar w:fldCharType="begin"/>
      </w:r>
      <w:r w:rsidR="000C669B">
        <w:rPr>
          <w:rFonts w:cs="Arial"/>
          <w:color w:val="000000" w:themeColor="text1"/>
          <w:sz w:val="24"/>
          <w:shd w:val="clear" w:color="auto" w:fill="FFFFFF"/>
        </w:rPr>
        <w:instrText xml:space="preserve"> ADDIN ZOTERO_ITEM CSL_CITATION {"citationID":"NXDuHrO8","properties":{"formattedCitation":"(Turner 2023)","plainCitation":"(Turner 2023)","noteIndex":0},"citationItems":[{"id":106,"uris":["http://zotero.org/users/12977854/items/SQR2VSPQ"],"itemData":{"id":106,"type":"article-journal","abstract":"Previously rare events, mass protest movements have become popular vehicles for those seeking political, economic, and social change. How do we evaluate movement success? Most studies addressing movement outcomes are grounded in the goal attainment approach, where movement success is dependent upon fulfilling one’s stated demands. The models derived from this approach heavily rely on visibility and transparency in the policymaking process. These offer limited analytical utility for scholars studying movements in authoritarian states, where policymaking is shrouded and media is state-controlled. Evaluating movements solely on their fulfillment of mission goals is highly problematic, as movements produce more outcomes than their intended goals. Movements also produce unintended benefits: concessions unrelated to the movement’s mission. These include negative consequences, or societal costs. Since movements produce both positive and negative unintended outcomes, any evaluation of a movement should also incorporate the costs associated with new gains. I argue a cost–benefit approach improves scholarly conceptualization and measurement of protest success. I conceptualize protest success as multidimensional and comprised of protest gains and societal costs. I develop a 21-point scale of protest success using Mokken Scale Analysis. AISP diagnostics indicate gains and costs comprise separate subscales, which are collapsed to produce total sum scores. I score 34 nonviolent movements in authoritarian states between 2002 and 2013 on an additive scale. Protests in authoritarian settings attain considerable accomplishments; however, those gains come with significant cost. Most total success scores are negative, indicating considerable backlash is common during and immediately after the demobilization of movements in authoritarian states. Success scores improve upon the canonical binary measure by: (1) offering improved discrimination between movements, (2) identifying cases of regime ‘ignoring’, and (3) pinpointing misclassified cases. By incorporating negative consequences into our evaluations, we advance our understanding why movements deemed successful by scholars are disappointments to their home publics.","container-title":"Journal of Peace Research","DOI":"10.1177/00223433221140434","ISSN":"0022-3433","issue":"1","language":"en","note":"publisher: SAGE Publications Ltd","page":"107-123","source":"SAGE Journals","title":"A win or a flop? Measuring mass protest successfulness in authoritarian settings","title-short":"A win or a flop?","volume":"60","author":[{"family":"Turner","given":"Kimberly"}],"issued":{"date-parts":[["2023",1,1]]}}}],"schema":"https://github.com/citation-style-language/schema/raw/master/csl-citation.json"} </w:instrText>
      </w:r>
      <w:r w:rsidR="000C669B">
        <w:rPr>
          <w:rFonts w:cs="Arial"/>
          <w:color w:val="000000" w:themeColor="text1"/>
          <w:sz w:val="24"/>
          <w:shd w:val="clear" w:color="auto" w:fill="FFFFFF"/>
        </w:rPr>
        <w:fldChar w:fldCharType="separate"/>
      </w:r>
      <w:r w:rsidR="000C669B" w:rsidRPr="000C669B">
        <w:rPr>
          <w:rFonts w:cs="Arial"/>
          <w:sz w:val="24"/>
        </w:rPr>
        <w:t>(Turner 2023</w:t>
      </w:r>
      <w:r w:rsidR="000C669B">
        <w:rPr>
          <w:rFonts w:cs="Arial"/>
          <w:sz w:val="24"/>
        </w:rPr>
        <w:t>, pg107</w:t>
      </w:r>
      <w:r w:rsidR="000C669B" w:rsidRPr="000C669B">
        <w:rPr>
          <w:rFonts w:cs="Arial"/>
          <w:sz w:val="24"/>
        </w:rPr>
        <w:t>)</w:t>
      </w:r>
      <w:r w:rsidR="000C669B">
        <w:rPr>
          <w:rFonts w:cs="Arial"/>
          <w:color w:val="000000" w:themeColor="text1"/>
          <w:sz w:val="24"/>
          <w:shd w:val="clear" w:color="auto" w:fill="FFFFFF"/>
        </w:rPr>
        <w:fldChar w:fldCharType="end"/>
      </w:r>
      <w:r w:rsidR="000C669B">
        <w:rPr>
          <w:rFonts w:cs="Arial"/>
          <w:color w:val="000000" w:themeColor="text1"/>
          <w:sz w:val="24"/>
          <w:shd w:val="clear" w:color="auto" w:fill="FFFFFF"/>
        </w:rPr>
        <w:t>.</w:t>
      </w:r>
      <w:r w:rsidR="00014E4F">
        <w:rPr>
          <w:rFonts w:cs="Arial"/>
          <w:color w:val="000000" w:themeColor="text1"/>
          <w:sz w:val="24"/>
          <w:shd w:val="clear" w:color="auto" w:fill="FFFFFF"/>
        </w:rPr>
        <w:t xml:space="preserve"> However, this is not the only measure of success of a movement, as it may have unintended positive outcomes, such as relationship and network building, education of how to create a call to action, and learning from any negative outcomes for future movements. </w:t>
      </w:r>
    </w:p>
    <w:p w:rsidR="00FD1FA7" w:rsidRDefault="00FD1FA7">
      <w:pPr>
        <w:rPr>
          <w:rFonts w:cs="Arial"/>
          <w:sz w:val="24"/>
          <w:u w:val="single"/>
        </w:rPr>
      </w:pPr>
      <w:r>
        <w:rPr>
          <w:rFonts w:cs="Arial"/>
          <w:sz w:val="24"/>
          <w:u w:val="single"/>
        </w:rPr>
        <w:br w:type="page"/>
      </w:r>
    </w:p>
    <w:p w:rsidR="006D0F1C" w:rsidRDefault="006D0F1C" w:rsidP="00A96B1E">
      <w:pPr>
        <w:spacing w:line="480" w:lineRule="auto"/>
        <w:rPr>
          <w:rFonts w:cs="Arial"/>
          <w:sz w:val="24"/>
          <w:u w:val="single"/>
        </w:rPr>
      </w:pPr>
      <w:r w:rsidRPr="006D0F1C">
        <w:rPr>
          <w:rFonts w:cs="Arial"/>
          <w:sz w:val="24"/>
          <w:u w:val="single"/>
        </w:rPr>
        <w:lastRenderedPageBreak/>
        <w:t xml:space="preserve">Public Narrative </w:t>
      </w:r>
    </w:p>
    <w:p w:rsidR="00A96B1E" w:rsidRPr="00A96B1E" w:rsidRDefault="00A96B1E" w:rsidP="00A96B1E">
      <w:pPr>
        <w:spacing w:line="480" w:lineRule="auto"/>
        <w:rPr>
          <w:rFonts w:cs="Arial"/>
          <w:sz w:val="24"/>
          <w:u w:val="single"/>
        </w:rPr>
      </w:pPr>
      <w:r w:rsidRPr="00A96B1E">
        <w:rPr>
          <w:rFonts w:cs="Arial"/>
          <w:sz w:val="24"/>
          <w:u w:val="single"/>
        </w:rPr>
        <w:t xml:space="preserve">My public narrative is directed towards the government, my Trust Board, and clinicians from all disciplines. </w:t>
      </w:r>
    </w:p>
    <w:p w:rsidR="0060061B" w:rsidRDefault="0060061B" w:rsidP="00A96B1E">
      <w:pPr>
        <w:spacing w:line="480" w:lineRule="auto"/>
      </w:pPr>
    </w:p>
    <w:p w:rsidR="006A39BD" w:rsidRDefault="00201B5B" w:rsidP="00A96B1E">
      <w:pPr>
        <w:spacing w:line="480" w:lineRule="auto"/>
        <w:rPr>
          <w:sz w:val="24"/>
        </w:rPr>
      </w:pPr>
      <w:r>
        <w:rPr>
          <w:sz w:val="24"/>
        </w:rPr>
        <w:t>My family are my number one priority</w:t>
      </w:r>
      <w:r w:rsidR="009B0AB3">
        <w:rPr>
          <w:sz w:val="24"/>
        </w:rPr>
        <w:t>,</w:t>
      </w:r>
      <w:r>
        <w:rPr>
          <w:sz w:val="24"/>
        </w:rPr>
        <w:t xml:space="preserve"> and </w:t>
      </w:r>
      <w:r w:rsidR="009B0AB3">
        <w:rPr>
          <w:sz w:val="24"/>
        </w:rPr>
        <w:t>are something I am fiercely protective of</w:t>
      </w:r>
      <w:r w:rsidR="00647A52">
        <w:rPr>
          <w:sz w:val="24"/>
        </w:rPr>
        <w:t>, and especially since</w:t>
      </w:r>
      <w:r w:rsidR="008801DB">
        <w:rPr>
          <w:sz w:val="24"/>
        </w:rPr>
        <w:t xml:space="preserve"> becoming a parent I’ve understood th</w:t>
      </w:r>
      <w:r w:rsidR="008D1015">
        <w:rPr>
          <w:sz w:val="24"/>
        </w:rPr>
        <w:t>e</w:t>
      </w:r>
      <w:r w:rsidR="008801DB">
        <w:rPr>
          <w:sz w:val="24"/>
        </w:rPr>
        <w:t xml:space="preserve"> desperate need to </w:t>
      </w:r>
      <w:r w:rsidR="009B0AB3">
        <w:rPr>
          <w:sz w:val="24"/>
        </w:rPr>
        <w:t xml:space="preserve">safeguard </w:t>
      </w:r>
      <w:r w:rsidR="008801DB">
        <w:rPr>
          <w:sz w:val="24"/>
        </w:rPr>
        <w:t>someone I love at all costs</w:t>
      </w:r>
      <w:r w:rsidR="00647A52">
        <w:rPr>
          <w:sz w:val="24"/>
        </w:rPr>
        <w:t>. How it feels to have</w:t>
      </w:r>
      <w:r w:rsidR="008801DB">
        <w:rPr>
          <w:sz w:val="24"/>
        </w:rPr>
        <w:t xml:space="preserve"> an overwhelming, frantic desire for others to be as invested in </w:t>
      </w:r>
      <w:r w:rsidR="00647A52">
        <w:rPr>
          <w:sz w:val="24"/>
        </w:rPr>
        <w:t>my child’s</w:t>
      </w:r>
      <w:r w:rsidR="008801DB">
        <w:rPr>
          <w:sz w:val="24"/>
        </w:rPr>
        <w:t xml:space="preserve"> wellbeing as I am. In the families of my patients, I see individuals </w:t>
      </w:r>
      <w:r w:rsidR="002573C9">
        <w:rPr>
          <w:sz w:val="24"/>
        </w:rPr>
        <w:t xml:space="preserve">who </w:t>
      </w:r>
      <w:r w:rsidR="008801DB">
        <w:rPr>
          <w:sz w:val="24"/>
        </w:rPr>
        <w:t>are</w:t>
      </w:r>
      <w:r w:rsidR="002573C9">
        <w:rPr>
          <w:sz w:val="24"/>
        </w:rPr>
        <w:t xml:space="preserve"> desperate for the</w:t>
      </w:r>
      <w:r w:rsidR="008801DB">
        <w:rPr>
          <w:sz w:val="24"/>
        </w:rPr>
        <w:t>ir loved ones</w:t>
      </w:r>
      <w:r w:rsidR="002573C9">
        <w:rPr>
          <w:sz w:val="24"/>
        </w:rPr>
        <w:t xml:space="preserve"> to be looked after, </w:t>
      </w:r>
      <w:r w:rsidR="008801DB">
        <w:rPr>
          <w:sz w:val="24"/>
        </w:rPr>
        <w:t>loved,</w:t>
      </w:r>
      <w:r w:rsidR="002573C9">
        <w:rPr>
          <w:sz w:val="24"/>
        </w:rPr>
        <w:t xml:space="preserve"> and cared for as I want my own family to be cared for in return</w:t>
      </w:r>
      <w:r w:rsidR="008801DB">
        <w:rPr>
          <w:sz w:val="24"/>
        </w:rPr>
        <w:t xml:space="preserve">. I care passionately about my patients because in them I see someone’s grandparents, parents, partners and children.  A number of patients I </w:t>
      </w:r>
      <w:r w:rsidR="009B0AB3">
        <w:rPr>
          <w:sz w:val="24"/>
        </w:rPr>
        <w:t>care for</w:t>
      </w:r>
      <w:r w:rsidR="008801DB">
        <w:rPr>
          <w:sz w:val="24"/>
        </w:rPr>
        <w:t xml:space="preserve"> </w:t>
      </w:r>
      <w:r w:rsidR="000F25C0">
        <w:rPr>
          <w:sz w:val="24"/>
        </w:rPr>
        <w:t xml:space="preserve">have </w:t>
      </w:r>
      <w:r w:rsidR="009B0AB3">
        <w:rPr>
          <w:sz w:val="24"/>
        </w:rPr>
        <w:t>repeated contact</w:t>
      </w:r>
      <w:r w:rsidR="000F25C0">
        <w:rPr>
          <w:sz w:val="24"/>
        </w:rPr>
        <w:t xml:space="preserve"> with hospital care for </w:t>
      </w:r>
      <w:r w:rsidR="002573C9">
        <w:rPr>
          <w:sz w:val="24"/>
        </w:rPr>
        <w:t xml:space="preserve">long periods, </w:t>
      </w:r>
      <w:r w:rsidR="000F25C0">
        <w:rPr>
          <w:sz w:val="24"/>
        </w:rPr>
        <w:t xml:space="preserve">often </w:t>
      </w:r>
      <w:r w:rsidR="004B3F4B">
        <w:rPr>
          <w:sz w:val="24"/>
        </w:rPr>
        <w:t>over a</w:t>
      </w:r>
      <w:r w:rsidR="009B0AB3">
        <w:rPr>
          <w:sz w:val="24"/>
        </w:rPr>
        <w:t xml:space="preserve"> number of </w:t>
      </w:r>
      <w:r w:rsidR="000F25C0">
        <w:rPr>
          <w:sz w:val="24"/>
        </w:rPr>
        <w:t>years</w:t>
      </w:r>
      <w:r w:rsidR="002573C9">
        <w:rPr>
          <w:sz w:val="24"/>
        </w:rPr>
        <w:t>,</w:t>
      </w:r>
      <w:r w:rsidR="000F25C0">
        <w:rPr>
          <w:sz w:val="24"/>
        </w:rPr>
        <w:t xml:space="preserve"> with many having </w:t>
      </w:r>
      <w:r w:rsidR="00647A52">
        <w:rPr>
          <w:sz w:val="24"/>
        </w:rPr>
        <w:t xml:space="preserve">treatment as condition </w:t>
      </w:r>
      <w:r w:rsidR="000F25C0">
        <w:rPr>
          <w:sz w:val="24"/>
        </w:rPr>
        <w:t>management</w:t>
      </w:r>
      <w:r w:rsidR="00647A52">
        <w:rPr>
          <w:sz w:val="24"/>
        </w:rPr>
        <w:t>,</w:t>
      </w:r>
      <w:r w:rsidR="000F25C0">
        <w:rPr>
          <w:sz w:val="24"/>
        </w:rPr>
        <w:t xml:space="preserve"> rather than </w:t>
      </w:r>
      <w:r w:rsidR="00647A52">
        <w:rPr>
          <w:sz w:val="24"/>
        </w:rPr>
        <w:t>as a curative measure.</w:t>
      </w:r>
      <w:r w:rsidR="000F25C0">
        <w:rPr>
          <w:sz w:val="24"/>
        </w:rPr>
        <w:t xml:space="preserve"> </w:t>
      </w:r>
      <w:r w:rsidR="00892D57">
        <w:rPr>
          <w:sz w:val="24"/>
        </w:rPr>
        <w:t xml:space="preserve"> </w:t>
      </w:r>
      <w:r w:rsidR="008801DB">
        <w:rPr>
          <w:sz w:val="24"/>
        </w:rPr>
        <w:t>These patients often report that they don’t</w:t>
      </w:r>
      <w:r w:rsidR="00647A52">
        <w:rPr>
          <w:sz w:val="24"/>
        </w:rPr>
        <w:t xml:space="preserve"> know why they are seeing me, what they are being treated for, or that they don’t</w:t>
      </w:r>
      <w:r w:rsidR="008801DB">
        <w:rPr>
          <w:sz w:val="24"/>
        </w:rPr>
        <w:t xml:space="preserve"> get a say in their treatment, understand their options, or know the risks and benefits of different procedures. </w:t>
      </w:r>
      <w:r w:rsidR="006A39BD">
        <w:rPr>
          <w:sz w:val="24"/>
        </w:rPr>
        <w:t>This isn’t right, or fair, and certainly something I would be horrified</w:t>
      </w:r>
      <w:r w:rsidR="00647A52">
        <w:rPr>
          <w:sz w:val="24"/>
        </w:rPr>
        <w:t xml:space="preserve"> and furious</w:t>
      </w:r>
      <w:r w:rsidR="006A39BD">
        <w:rPr>
          <w:sz w:val="24"/>
        </w:rPr>
        <w:t xml:space="preserve"> to encounter in the care of my own family. </w:t>
      </w:r>
    </w:p>
    <w:p w:rsidR="006A39BD" w:rsidRDefault="006A39BD" w:rsidP="00A96B1E">
      <w:pPr>
        <w:spacing w:line="480" w:lineRule="auto"/>
        <w:rPr>
          <w:sz w:val="24"/>
        </w:rPr>
      </w:pPr>
    </w:p>
    <w:p w:rsidR="00647A52" w:rsidRDefault="006A39BD" w:rsidP="00A96B1E">
      <w:pPr>
        <w:spacing w:line="480" w:lineRule="auto"/>
        <w:rPr>
          <w:sz w:val="24"/>
        </w:rPr>
      </w:pPr>
      <w:r>
        <w:rPr>
          <w:sz w:val="24"/>
        </w:rPr>
        <w:t xml:space="preserve">But how do we know what individual patients want, or need? By </w:t>
      </w:r>
      <w:r w:rsidR="004B3F4B">
        <w:rPr>
          <w:sz w:val="24"/>
        </w:rPr>
        <w:t xml:space="preserve">speaking to people, finding out their </w:t>
      </w:r>
      <w:r w:rsidR="00647A52">
        <w:rPr>
          <w:sz w:val="24"/>
        </w:rPr>
        <w:t xml:space="preserve">individual </w:t>
      </w:r>
      <w:r w:rsidR="004B3F4B">
        <w:rPr>
          <w:sz w:val="24"/>
        </w:rPr>
        <w:t>values, and making this in to something distinct and measurable. By c</w:t>
      </w:r>
      <w:r>
        <w:rPr>
          <w:sz w:val="24"/>
        </w:rPr>
        <w:t xml:space="preserve">ollecting </w:t>
      </w:r>
      <w:r w:rsidR="004B3F4B">
        <w:rPr>
          <w:sz w:val="24"/>
        </w:rPr>
        <w:t>information</w:t>
      </w:r>
      <w:r>
        <w:rPr>
          <w:sz w:val="24"/>
        </w:rPr>
        <w:t xml:space="preserve"> about what matters to people, rather than two-dimensional </w:t>
      </w:r>
      <w:r w:rsidR="004B3F4B">
        <w:rPr>
          <w:sz w:val="24"/>
        </w:rPr>
        <w:t>figures</w:t>
      </w:r>
      <w:r>
        <w:rPr>
          <w:sz w:val="24"/>
        </w:rPr>
        <w:t xml:space="preserve"> about numbers and waiting times</w:t>
      </w:r>
      <w:r w:rsidR="009B0AB3">
        <w:rPr>
          <w:sz w:val="24"/>
        </w:rPr>
        <w:t xml:space="preserve">, </w:t>
      </w:r>
      <w:r w:rsidR="009B0AB3">
        <w:rPr>
          <w:sz w:val="24"/>
        </w:rPr>
        <w:lastRenderedPageBreak/>
        <w:t>we can</w:t>
      </w:r>
      <w:r>
        <w:rPr>
          <w:sz w:val="24"/>
        </w:rPr>
        <w:t xml:space="preserve"> provide qualitative data as evidence to the government that </w:t>
      </w:r>
      <w:r w:rsidR="009B0AB3">
        <w:rPr>
          <w:sz w:val="24"/>
        </w:rPr>
        <w:t>is</w:t>
      </w:r>
      <w:r>
        <w:rPr>
          <w:sz w:val="24"/>
        </w:rPr>
        <w:t xml:space="preserve"> a real, tangible demonstration of performance, which in turn will allow care to be driven in a more personalised, holistic direction.  Consultants are bound by the current numerical ‘measures of success’, and keeping these figures within national targets is often the basis behind decision making. </w:t>
      </w:r>
      <w:r w:rsidR="00AD4D09">
        <w:rPr>
          <w:sz w:val="24"/>
        </w:rPr>
        <w:t xml:space="preserve">The National Vascular Registry, for example, is mandatory in England but optional in Wales, meaning consultants can choose not to contribute data to this. The data taken in to account is quantitative, rather than qualitative, meaning the </w:t>
      </w:r>
      <w:r w:rsidR="00AD4D09" w:rsidRPr="008F1E01">
        <w:rPr>
          <w:i/>
          <w:sz w:val="24"/>
        </w:rPr>
        <w:t>quality</w:t>
      </w:r>
      <w:r w:rsidR="00AD4D09">
        <w:rPr>
          <w:sz w:val="24"/>
        </w:rPr>
        <w:t xml:space="preserve"> of care is not being assessed. </w:t>
      </w:r>
      <w:r w:rsidR="004B7341">
        <w:rPr>
          <w:sz w:val="24"/>
        </w:rPr>
        <w:t xml:space="preserve">The South East Wales Vascular Network </w:t>
      </w:r>
      <w:r w:rsidR="000C669B">
        <w:rPr>
          <w:sz w:val="24"/>
        </w:rPr>
        <w:t xml:space="preserve">Annual </w:t>
      </w:r>
      <w:r w:rsidR="004B7341">
        <w:rPr>
          <w:sz w:val="24"/>
        </w:rPr>
        <w:t xml:space="preserve">Report (2022-2023), for example, gives figures of admission rates, operation numbers, and symptom to procedure waiting times, but very limited patient experience data, with nothing collected that is vascular-specific (SEWVN </w:t>
      </w:r>
      <w:r w:rsidR="000C669B">
        <w:rPr>
          <w:sz w:val="24"/>
        </w:rPr>
        <w:t>Annual R</w:t>
      </w:r>
      <w:r w:rsidR="004B7341">
        <w:rPr>
          <w:sz w:val="24"/>
        </w:rPr>
        <w:t xml:space="preserve">eport 2023). </w:t>
      </w:r>
    </w:p>
    <w:p w:rsidR="00647A52" w:rsidRDefault="00647A52" w:rsidP="00A96B1E">
      <w:pPr>
        <w:spacing w:line="480" w:lineRule="auto"/>
        <w:rPr>
          <w:sz w:val="24"/>
        </w:rPr>
      </w:pPr>
    </w:p>
    <w:p w:rsidR="003229A8" w:rsidRDefault="00AD4D09" w:rsidP="00A96B1E">
      <w:pPr>
        <w:spacing w:line="480" w:lineRule="auto"/>
        <w:rPr>
          <w:sz w:val="24"/>
        </w:rPr>
      </w:pPr>
      <w:r>
        <w:rPr>
          <w:sz w:val="24"/>
        </w:rPr>
        <w:t xml:space="preserve">Good quality care cannot be solely based on numbers. For </w:t>
      </w:r>
      <w:r w:rsidR="00647A52">
        <w:rPr>
          <w:sz w:val="24"/>
        </w:rPr>
        <w:t>example, on</w:t>
      </w:r>
      <w:r>
        <w:rPr>
          <w:sz w:val="24"/>
        </w:rPr>
        <w:t xml:space="preserve">e </w:t>
      </w:r>
      <w:r w:rsidR="00647A52">
        <w:rPr>
          <w:sz w:val="24"/>
        </w:rPr>
        <w:t xml:space="preserve">individual </w:t>
      </w:r>
      <w:r>
        <w:rPr>
          <w:sz w:val="24"/>
        </w:rPr>
        <w:t>with a chronic wound</w:t>
      </w:r>
      <w:r w:rsidR="00647A52">
        <w:rPr>
          <w:sz w:val="24"/>
        </w:rPr>
        <w:t xml:space="preserve"> may see a </w:t>
      </w:r>
      <w:r>
        <w:rPr>
          <w:sz w:val="24"/>
        </w:rPr>
        <w:t xml:space="preserve">primary amputation </w:t>
      </w:r>
      <w:r w:rsidR="00647A52">
        <w:rPr>
          <w:sz w:val="24"/>
        </w:rPr>
        <w:t xml:space="preserve">as the </w:t>
      </w:r>
      <w:r>
        <w:rPr>
          <w:sz w:val="24"/>
        </w:rPr>
        <w:t>best outcome</w:t>
      </w:r>
      <w:r w:rsidR="00647A52">
        <w:rPr>
          <w:sz w:val="24"/>
        </w:rPr>
        <w:t xml:space="preserve"> for their quality of life</w:t>
      </w:r>
      <w:r>
        <w:rPr>
          <w:sz w:val="24"/>
        </w:rPr>
        <w:t xml:space="preserve">, compared to repeated visits to a healthcare setting for wound care, hospital admissions, and ultimately a secondary amputation which could result in decreased mobility and prosthetic options. This, however, might not be offered if amputation rates are high; as discussed with a surgeon in my Trust, even amputations for palliative patients are </w:t>
      </w:r>
      <w:r w:rsidR="00647A52">
        <w:rPr>
          <w:sz w:val="24"/>
        </w:rPr>
        <w:t xml:space="preserve">currently </w:t>
      </w:r>
      <w:r>
        <w:rPr>
          <w:sz w:val="24"/>
        </w:rPr>
        <w:t>restricted as these ‘make the numbers look bad’.  This is clearly unacceptable</w:t>
      </w:r>
      <w:r w:rsidR="00647A52">
        <w:rPr>
          <w:sz w:val="24"/>
        </w:rPr>
        <w:t>;</w:t>
      </w:r>
      <w:r>
        <w:rPr>
          <w:sz w:val="24"/>
        </w:rPr>
        <w:t xml:space="preserve"> putting patients through surgery that does not improve their life quality or length, but rather serves to keep them off a list of ‘failures’</w:t>
      </w:r>
      <w:r w:rsidR="00647A52">
        <w:rPr>
          <w:sz w:val="24"/>
        </w:rPr>
        <w:t xml:space="preserve">, is not caring for patients and their individual needs. Unfortunately, clinicians have </w:t>
      </w:r>
      <w:r w:rsidR="00647A52">
        <w:rPr>
          <w:sz w:val="24"/>
        </w:rPr>
        <w:lastRenderedPageBreak/>
        <w:t xml:space="preserve">their hands tied by the measures of success and the targets they currently need to meet, which I argue are not fit for purpose. </w:t>
      </w:r>
    </w:p>
    <w:p w:rsidR="003229A8" w:rsidRDefault="003229A8" w:rsidP="00A96B1E">
      <w:pPr>
        <w:spacing w:line="480" w:lineRule="auto"/>
        <w:rPr>
          <w:sz w:val="24"/>
        </w:rPr>
      </w:pPr>
    </w:p>
    <w:p w:rsidR="00AD4D09" w:rsidRDefault="003229A8" w:rsidP="00A96B1E">
      <w:pPr>
        <w:spacing w:line="480" w:lineRule="auto"/>
        <w:rPr>
          <w:sz w:val="24"/>
        </w:rPr>
      </w:pPr>
      <w:r>
        <w:rPr>
          <w:sz w:val="24"/>
        </w:rPr>
        <w:t xml:space="preserve">Another example of this is patients with arteriovenous fistulas for dialysis; healthcare trusts are financially penalised if patients have a central venous line for dialysis, as the target is for as many patients as possible to have autologous fistulae. Some patients will have multiple operations to attempt a working fistula, and I recently encountered an unwell, elderly gentleman who has a line and a failed fistula. He doesn’t want another fistula, he is 87, and feels his quality of life will be better with the line, and when the line fails, he’s aware that will be the end of his life. He is being persuaded to have another fistula. This is not for his best interests, but rather to fulfil a target. That is not good healthcare, and this needs to urgently change, to stop clinicians feeling the need to pressure patients into poor decision making. </w:t>
      </w:r>
    </w:p>
    <w:p w:rsidR="00D8158C" w:rsidRDefault="00D8158C" w:rsidP="00A96B1E">
      <w:pPr>
        <w:spacing w:line="480" w:lineRule="auto"/>
        <w:rPr>
          <w:sz w:val="24"/>
        </w:rPr>
      </w:pPr>
    </w:p>
    <w:p w:rsidR="00985A15" w:rsidRDefault="000B4D4B" w:rsidP="00A96B1E">
      <w:pPr>
        <w:spacing w:line="480" w:lineRule="auto"/>
        <w:rPr>
          <w:sz w:val="24"/>
        </w:rPr>
      </w:pPr>
      <w:r>
        <w:rPr>
          <w:sz w:val="24"/>
        </w:rPr>
        <w:t>Patient reported outcome measures (PROMS</w:t>
      </w:r>
      <w:r w:rsidR="00647A52">
        <w:rPr>
          <w:sz w:val="24"/>
        </w:rPr>
        <w:t>),</w:t>
      </w:r>
      <w:r w:rsidR="001957D4">
        <w:rPr>
          <w:sz w:val="24"/>
        </w:rPr>
        <w:t xml:space="preserve"> </w:t>
      </w:r>
      <w:r w:rsidR="001A5768">
        <w:rPr>
          <w:sz w:val="24"/>
        </w:rPr>
        <w:t xml:space="preserve">are a tool which is evidenced to ‘lead to better communication and decision making between doctors and patients and improves patient satisfaction with care’ </w:t>
      </w:r>
      <w:r w:rsidR="000C669B">
        <w:rPr>
          <w:sz w:val="24"/>
        </w:rPr>
        <w:fldChar w:fldCharType="begin"/>
      </w:r>
      <w:r w:rsidR="000C669B">
        <w:rPr>
          <w:sz w:val="24"/>
        </w:rPr>
        <w:instrText xml:space="preserve"> ADDIN ZOTERO_ITEM CSL_CITATION {"citationID":"YgalOD4Q","properties":{"formattedCitation":"(Nelson et al. 2015)","plainCitation":"(Nelson et al. 2015)","noteIndex":0},"citationItems":[{"id":99,"uris":["http://zotero.org/users/12977854/items/EM2FGI5V"],"itemData":{"id":99,"type":"article-journal","abstract":"&lt;p&gt;Scores of tools to measure outcomes that matter to patients have been developed over the past 30 years but few are used routinely at the point of care. &lt;b&gt;Nelson and colleagues&lt;/b&gt; describe examples where they are used in primary and secondary care and argue for their wider uptake to improve quality of care &lt;/p&gt;","container-title":"BMJ","DOI":"10.1136/bmj.g7818","ISSN":"1756-1833","journalAbbreviation":"BMJ","language":"en","license":"© BMJ Publishing Group Ltd 2015","note":"publisher: British Medical Journal Publishing Group\nsection: Analysis\nPMID: 25670183","page":"g7818","source":"www.bmj.com","title":"Patient reported outcome measures in practice","volume":"350","author":[{"family":"Nelson","given":"Eugene C."},{"family":"Eftimovska","given":"Elena"},{"family":"Lind","given":"Cristin"},{"family":"Hager","given":"Andreas"},{"family":"Wasson","given":"John H."},{"family":"Lindblad","given":"Staffan"}],"issued":{"date-parts":[["2015",2,10]]}}}],"schema":"https://github.com/citation-style-language/schema/raw/master/csl-citation.json"} </w:instrText>
      </w:r>
      <w:r w:rsidR="000C669B">
        <w:rPr>
          <w:sz w:val="24"/>
        </w:rPr>
        <w:fldChar w:fldCharType="separate"/>
      </w:r>
      <w:r w:rsidR="000C669B" w:rsidRPr="000C669B">
        <w:rPr>
          <w:rFonts w:cs="Arial"/>
          <w:sz w:val="24"/>
        </w:rPr>
        <w:t>(Nelson et al. 2015</w:t>
      </w:r>
      <w:r w:rsidR="000C669B">
        <w:rPr>
          <w:rFonts w:cs="Arial"/>
          <w:sz w:val="24"/>
        </w:rPr>
        <w:t>, pg1</w:t>
      </w:r>
      <w:r w:rsidR="000C669B" w:rsidRPr="000C669B">
        <w:rPr>
          <w:rFonts w:cs="Arial"/>
          <w:sz w:val="24"/>
        </w:rPr>
        <w:t>)</w:t>
      </w:r>
      <w:r w:rsidR="000C669B">
        <w:rPr>
          <w:sz w:val="24"/>
        </w:rPr>
        <w:fldChar w:fldCharType="end"/>
      </w:r>
      <w:r w:rsidR="000C669B">
        <w:rPr>
          <w:sz w:val="24"/>
        </w:rPr>
        <w:t>.</w:t>
      </w:r>
      <w:r w:rsidR="001A5768">
        <w:rPr>
          <w:sz w:val="24"/>
        </w:rPr>
        <w:t xml:space="preserve"> Currently,</w:t>
      </w:r>
      <w:r w:rsidR="00AD4D09">
        <w:rPr>
          <w:sz w:val="24"/>
        </w:rPr>
        <w:t xml:space="preserve"> usage of these are limited,</w:t>
      </w:r>
      <w:r w:rsidR="001A5768">
        <w:rPr>
          <w:sz w:val="24"/>
        </w:rPr>
        <w:t xml:space="preserve"> with PROMS in England only collected for hip and knee replacement operations, and they stopped collection of these for hernia and varicose vein surgery</w:t>
      </w:r>
      <w:r w:rsidR="00C86459">
        <w:rPr>
          <w:sz w:val="24"/>
        </w:rPr>
        <w:t xml:space="preserve"> (NHS Digital</w:t>
      </w:r>
      <w:r w:rsidR="00186AF2">
        <w:rPr>
          <w:sz w:val="24"/>
        </w:rPr>
        <w:t>, 2023</w:t>
      </w:r>
      <w:r w:rsidR="00C86459">
        <w:rPr>
          <w:sz w:val="24"/>
        </w:rPr>
        <w:t>)</w:t>
      </w:r>
      <w:r w:rsidR="001A5768">
        <w:rPr>
          <w:sz w:val="24"/>
        </w:rPr>
        <w:t xml:space="preserve">. </w:t>
      </w:r>
      <w:r w:rsidR="001A5768">
        <w:rPr>
          <w:sz w:val="24"/>
        </w:rPr>
        <w:t xml:space="preserve">This feels like a step backwards, like we are moving away from using these quality of life measures as standard practice. </w:t>
      </w:r>
      <w:r w:rsidR="00AD4D09">
        <w:rPr>
          <w:sz w:val="24"/>
        </w:rPr>
        <w:t xml:space="preserve"> </w:t>
      </w:r>
      <w:r w:rsidR="001A5768">
        <w:rPr>
          <w:sz w:val="24"/>
        </w:rPr>
        <w:t>PROM collection and application of findings needs work;</w:t>
      </w:r>
      <w:r w:rsidR="00AD4D09">
        <w:rPr>
          <w:sz w:val="24"/>
        </w:rPr>
        <w:t xml:space="preserve"> ‘</w:t>
      </w:r>
      <w:r w:rsidR="00AD4D09" w:rsidRPr="000C669B">
        <w:rPr>
          <w:sz w:val="24"/>
        </w:rPr>
        <w:t xml:space="preserve">the PROMs movement has largely been driven by the agenda of researchers or service payers and has failed to focus effectively on improving the quality of </w:t>
      </w:r>
      <w:r w:rsidR="00AD4D09" w:rsidRPr="000C669B">
        <w:rPr>
          <w:sz w:val="24"/>
        </w:rPr>
        <w:lastRenderedPageBreak/>
        <w:t>care from the patient’s perspective</w:t>
      </w:r>
      <w:r w:rsidR="00AD4D09" w:rsidRPr="00AD4D09">
        <w:rPr>
          <w:i/>
          <w:sz w:val="24"/>
        </w:rPr>
        <w:t>’</w:t>
      </w:r>
      <w:r w:rsidR="000C669B">
        <w:rPr>
          <w:sz w:val="24"/>
        </w:rPr>
        <w:t xml:space="preserve"> </w:t>
      </w:r>
      <w:r w:rsidR="000C669B">
        <w:rPr>
          <w:sz w:val="24"/>
        </w:rPr>
        <w:fldChar w:fldCharType="begin"/>
      </w:r>
      <w:r w:rsidR="000C669B">
        <w:rPr>
          <w:sz w:val="24"/>
        </w:rPr>
        <w:instrText xml:space="preserve"> ADDIN ZOTERO_ITEM CSL_CITATION {"citationID":"6P9rBM5A","properties":{"formattedCitation":"(Nelson et al. 2015)","plainCitation":"(Nelson et al. 2015)","noteIndex":0},"citationItems":[{"id":99,"uris":["http://zotero.org/users/12977854/items/EM2FGI5V"],"itemData":{"id":99,"type":"article-journal","abstract":"&lt;p&gt;Scores of tools to measure outcomes that matter to patients have been developed over the past 30 years but few are used routinely at the point of care. &lt;b&gt;Nelson and colleagues&lt;/b&gt; describe examples where they are used in primary and secondary care and argue for their wider uptake to improve quality of care &lt;/p&gt;","container-title":"BMJ","DOI":"10.1136/bmj.g7818","ISSN":"1756-1833","journalAbbreviation":"BMJ","language":"en","license":"© BMJ Publishing Group Ltd 2015","note":"publisher: British Medical Journal Publishing Group\nsection: Analysis\nPMID: 25670183","page":"g7818","source":"www.bmj.com","title":"Patient reported outcome measures in practice","volume":"350","author":[{"family":"Nelson","given":"Eugene C."},{"family":"Eftimovska","given":"Elena"},{"family":"Lind","given":"Cristin"},{"family":"Hager","given":"Andreas"},{"family":"Wasson","given":"John H."},{"family":"Lindblad","given":"Staffan"}],"issued":{"date-parts":[["2015",2,10]]}}}],"schema":"https://github.com/citation-style-language/schema/raw/master/csl-citation.json"} </w:instrText>
      </w:r>
      <w:r w:rsidR="000C669B">
        <w:rPr>
          <w:sz w:val="24"/>
        </w:rPr>
        <w:fldChar w:fldCharType="separate"/>
      </w:r>
      <w:r w:rsidR="000C669B" w:rsidRPr="000C669B">
        <w:rPr>
          <w:rFonts w:cs="Arial"/>
          <w:sz w:val="24"/>
        </w:rPr>
        <w:t>(Nelson et al. 2015</w:t>
      </w:r>
      <w:r w:rsidR="000C669B">
        <w:rPr>
          <w:rFonts w:cs="Arial"/>
          <w:sz w:val="24"/>
        </w:rPr>
        <w:t>, pg1</w:t>
      </w:r>
      <w:r w:rsidR="000C669B" w:rsidRPr="000C669B">
        <w:rPr>
          <w:rFonts w:cs="Arial"/>
          <w:sz w:val="24"/>
        </w:rPr>
        <w:t>)</w:t>
      </w:r>
      <w:r w:rsidR="000C669B">
        <w:rPr>
          <w:sz w:val="24"/>
        </w:rPr>
        <w:fldChar w:fldCharType="end"/>
      </w:r>
      <w:r w:rsidR="000C669B">
        <w:rPr>
          <w:sz w:val="24"/>
        </w:rPr>
        <w:t>,</w:t>
      </w:r>
      <w:r w:rsidR="001A5768">
        <w:rPr>
          <w:sz w:val="24"/>
        </w:rPr>
        <w:t xml:space="preserve"> and therefore we need to start implementing these </w:t>
      </w:r>
      <w:r w:rsidR="00AB2A6E">
        <w:rPr>
          <w:sz w:val="24"/>
        </w:rPr>
        <w:t xml:space="preserve">findings to change things that matter to patients. </w:t>
      </w:r>
    </w:p>
    <w:p w:rsidR="00186AF2" w:rsidRDefault="00186AF2" w:rsidP="00A96B1E">
      <w:pPr>
        <w:spacing w:line="480" w:lineRule="auto"/>
        <w:rPr>
          <w:sz w:val="24"/>
        </w:rPr>
      </w:pPr>
    </w:p>
    <w:p w:rsidR="00985A15" w:rsidRDefault="00985A15" w:rsidP="00A96B1E">
      <w:pPr>
        <w:spacing w:line="480" w:lineRule="auto"/>
        <w:rPr>
          <w:sz w:val="24"/>
        </w:rPr>
      </w:pPr>
      <w:r>
        <w:rPr>
          <w:sz w:val="24"/>
        </w:rPr>
        <w:t>In my department, the only</w:t>
      </w:r>
      <w:r w:rsidR="001A5768">
        <w:rPr>
          <w:sz w:val="24"/>
        </w:rPr>
        <w:t xml:space="preserve"> government-</w:t>
      </w:r>
      <w:r>
        <w:rPr>
          <w:sz w:val="24"/>
        </w:rPr>
        <w:t>reportable outcome measure that is taken in to account is our waiting list</w:t>
      </w:r>
      <w:r w:rsidR="001A5768">
        <w:rPr>
          <w:sz w:val="24"/>
        </w:rPr>
        <w:t xml:space="preserve">. Anything done in less than 8 weeks is fine.  Considering our current waiting list is 6 weeks, and </w:t>
      </w:r>
      <w:r>
        <w:rPr>
          <w:sz w:val="24"/>
        </w:rPr>
        <w:t xml:space="preserve">outpatients account for approximately 20% of our workload, this is not representative of what we do and how well we do </w:t>
      </w:r>
      <w:r w:rsidR="009E6D3D">
        <w:rPr>
          <w:sz w:val="24"/>
        </w:rPr>
        <w:t>it</w:t>
      </w:r>
      <w:r>
        <w:rPr>
          <w:sz w:val="24"/>
        </w:rPr>
        <w:t xml:space="preserve">. </w:t>
      </w:r>
      <w:r w:rsidR="009E6D3D">
        <w:rPr>
          <w:sz w:val="24"/>
        </w:rPr>
        <w:t xml:space="preserve">It doesn’t say how well we treat patients, the times we have taken patients back to the ward ourselves in wheelchairs as porters are overstretched, and they have been waiting a long time in a chilly waiting room in pyjamas. </w:t>
      </w:r>
      <w:r w:rsidR="001A5768">
        <w:rPr>
          <w:sz w:val="24"/>
        </w:rPr>
        <w:t xml:space="preserve">When a patient has cancer and lives far away, so we make sure they have all their hospital appointments on the same day to help them. </w:t>
      </w:r>
      <w:r w:rsidR="009E6D3D">
        <w:rPr>
          <w:sz w:val="24"/>
        </w:rPr>
        <w:t>When a patient has been upset over the findings of a scan, so we have given them a cup of tea and had a chat to reassure them. Things we hope people would do in return when caring for our own loved ones.</w:t>
      </w:r>
    </w:p>
    <w:p w:rsidR="003F1918" w:rsidRPr="0082640A" w:rsidRDefault="003F1918" w:rsidP="00A96B1E">
      <w:pPr>
        <w:spacing w:line="480" w:lineRule="auto"/>
        <w:rPr>
          <w:sz w:val="24"/>
        </w:rPr>
      </w:pPr>
    </w:p>
    <w:p w:rsidR="00892D57" w:rsidRDefault="00DA5E85" w:rsidP="00A96B1E">
      <w:pPr>
        <w:spacing w:line="480" w:lineRule="auto"/>
        <w:rPr>
          <w:sz w:val="24"/>
        </w:rPr>
      </w:pPr>
      <w:r w:rsidRPr="0082640A">
        <w:rPr>
          <w:sz w:val="24"/>
        </w:rPr>
        <w:t>By 20</w:t>
      </w:r>
      <w:r w:rsidR="00D15C70">
        <w:rPr>
          <w:sz w:val="24"/>
        </w:rPr>
        <w:t>30</w:t>
      </w:r>
      <w:r w:rsidRPr="0082640A">
        <w:rPr>
          <w:sz w:val="24"/>
        </w:rPr>
        <w:t xml:space="preserve"> we should have Quality of Life measures </w:t>
      </w:r>
      <w:r w:rsidR="0082640A" w:rsidRPr="0082640A">
        <w:rPr>
          <w:sz w:val="24"/>
        </w:rPr>
        <w:t>considered</w:t>
      </w:r>
      <w:r w:rsidRPr="0082640A">
        <w:rPr>
          <w:sz w:val="24"/>
        </w:rPr>
        <w:t xml:space="preserve"> as</w:t>
      </w:r>
      <w:r w:rsidR="002573C9">
        <w:rPr>
          <w:sz w:val="24"/>
        </w:rPr>
        <w:t xml:space="preserve"> the main</w:t>
      </w:r>
      <w:r w:rsidRPr="0082640A">
        <w:rPr>
          <w:sz w:val="24"/>
        </w:rPr>
        <w:t xml:space="preserve"> measures of success for all clinicians,</w:t>
      </w:r>
      <w:r w:rsidR="00D15C70">
        <w:rPr>
          <w:sz w:val="24"/>
        </w:rPr>
        <w:t xml:space="preserve"> for all services, </w:t>
      </w:r>
      <w:r w:rsidRPr="0082640A">
        <w:rPr>
          <w:sz w:val="24"/>
        </w:rPr>
        <w:t xml:space="preserve">with </w:t>
      </w:r>
      <w:r w:rsidR="00D15C70">
        <w:rPr>
          <w:sz w:val="24"/>
        </w:rPr>
        <w:t>significant value associated with this</w:t>
      </w:r>
      <w:r w:rsidRPr="0082640A">
        <w:rPr>
          <w:sz w:val="24"/>
        </w:rPr>
        <w:t xml:space="preserve">, rather than basing success on absolute quantitative values (e.g. numbers of amputations, numbers of </w:t>
      </w:r>
      <w:r w:rsidR="00C63F12">
        <w:rPr>
          <w:sz w:val="24"/>
        </w:rPr>
        <w:t>elective or emergency patients</w:t>
      </w:r>
      <w:r w:rsidRPr="0082640A">
        <w:rPr>
          <w:sz w:val="24"/>
        </w:rPr>
        <w:t xml:space="preserve">). </w:t>
      </w:r>
      <w:r w:rsidR="00FA4574">
        <w:rPr>
          <w:sz w:val="24"/>
        </w:rPr>
        <w:t xml:space="preserve">We need to change the ‘figures of success’. </w:t>
      </w:r>
    </w:p>
    <w:p w:rsidR="00701AD6" w:rsidRDefault="00701AD6" w:rsidP="00A96B1E">
      <w:pPr>
        <w:spacing w:line="480" w:lineRule="auto"/>
        <w:rPr>
          <w:sz w:val="24"/>
        </w:rPr>
      </w:pPr>
    </w:p>
    <w:p w:rsidR="003229A8" w:rsidRDefault="00701AD6" w:rsidP="00A96B1E">
      <w:pPr>
        <w:spacing w:line="480" w:lineRule="auto"/>
        <w:rPr>
          <w:sz w:val="24"/>
        </w:rPr>
      </w:pPr>
      <w:r>
        <w:rPr>
          <w:sz w:val="24"/>
        </w:rPr>
        <w:t xml:space="preserve">This will pose a huge challenge to people working in healthcare; changing the rules of what constitutes ‘a favourable outcome’, thinking on a personal level about what we would want for the care of our loved ones, and providing this </w:t>
      </w:r>
      <w:r>
        <w:rPr>
          <w:sz w:val="24"/>
        </w:rPr>
        <w:lastRenderedPageBreak/>
        <w:t xml:space="preserve">for our patients. </w:t>
      </w:r>
      <w:r w:rsidR="003229A8">
        <w:rPr>
          <w:sz w:val="24"/>
        </w:rPr>
        <w:t xml:space="preserve">It will require effort from numerous parties to make this work. But, </w:t>
      </w:r>
      <w:r w:rsidR="003229A8" w:rsidRPr="003229A8">
        <w:rPr>
          <w:i/>
          <w:sz w:val="24"/>
        </w:rPr>
        <w:t>w</w:t>
      </w:r>
      <w:r w:rsidRPr="003229A8">
        <w:rPr>
          <w:i/>
          <w:sz w:val="24"/>
        </w:rPr>
        <w:t>e can do this</w:t>
      </w:r>
      <w:r>
        <w:rPr>
          <w:sz w:val="24"/>
        </w:rPr>
        <w:t xml:space="preserve">, and we are working towards this, </w:t>
      </w:r>
      <w:r w:rsidR="003229A8">
        <w:rPr>
          <w:sz w:val="24"/>
        </w:rPr>
        <w:t>and this will make the care of our patients more like the care we want for the people we love. W</w:t>
      </w:r>
      <w:r>
        <w:rPr>
          <w:sz w:val="24"/>
        </w:rPr>
        <w:t>ith palliative care PROMs being developed in Wales, and work in my own Trust on vascular-specific PROMs</w:t>
      </w:r>
      <w:r w:rsidR="003229A8">
        <w:rPr>
          <w:sz w:val="24"/>
        </w:rPr>
        <w:t xml:space="preserve">, we can implement these changes to make life more tolerable for our patients, to give their lives and their care back to them, and give them the power to choose what they need for a better life. </w:t>
      </w:r>
    </w:p>
    <w:p w:rsidR="003229A8" w:rsidRDefault="003229A8" w:rsidP="00A96B1E">
      <w:pPr>
        <w:spacing w:line="480" w:lineRule="auto"/>
        <w:rPr>
          <w:sz w:val="24"/>
        </w:rPr>
      </w:pPr>
    </w:p>
    <w:p w:rsidR="00701AD6" w:rsidRPr="0098321B" w:rsidRDefault="003229A8" w:rsidP="00A96B1E">
      <w:pPr>
        <w:spacing w:line="480" w:lineRule="auto"/>
        <w:rPr>
          <w:sz w:val="24"/>
        </w:rPr>
      </w:pPr>
      <w:r>
        <w:rPr>
          <w:sz w:val="24"/>
        </w:rPr>
        <w:t>This is a</w:t>
      </w:r>
      <w:r w:rsidR="00701AD6">
        <w:rPr>
          <w:sz w:val="24"/>
        </w:rPr>
        <w:t xml:space="preserve"> slow, laborious process, and it is taking too long. But if there is acceptance from the UK government that these quality measures have value, and arguably more value than static figures around time related targets and absolute patient numbers, we can make change towards adoption of quality of life measures for all services, for all patients, to inform future research and development. </w:t>
      </w:r>
      <w:r w:rsidR="00701AD6" w:rsidRPr="008F1C11">
        <w:rPr>
          <w:b/>
          <w:sz w:val="24"/>
        </w:rPr>
        <w:t>To make care more caring</w:t>
      </w:r>
      <w:r w:rsidR="00701AD6">
        <w:rPr>
          <w:sz w:val="24"/>
        </w:rPr>
        <w:t xml:space="preserve">. </w:t>
      </w:r>
    </w:p>
    <w:p w:rsidR="005562A4" w:rsidRDefault="005562A4" w:rsidP="00A96B1E">
      <w:pPr>
        <w:spacing w:line="480" w:lineRule="auto"/>
      </w:pPr>
    </w:p>
    <w:p w:rsidR="005562A4" w:rsidRDefault="005562A4" w:rsidP="00A96B1E">
      <w:pPr>
        <w:spacing w:line="480" w:lineRule="auto"/>
      </w:pPr>
    </w:p>
    <w:p w:rsidR="005562A4" w:rsidRDefault="005562A4" w:rsidP="00A96B1E">
      <w:pPr>
        <w:spacing w:line="480" w:lineRule="auto"/>
        <w:rPr>
          <w:sz w:val="24"/>
        </w:rPr>
      </w:pPr>
    </w:p>
    <w:p w:rsidR="00FD1FA7" w:rsidRDefault="00FD1FA7">
      <w:pPr>
        <w:rPr>
          <w:rFonts w:cs="Arial"/>
          <w:sz w:val="24"/>
          <w:u w:val="single"/>
        </w:rPr>
      </w:pPr>
      <w:r>
        <w:rPr>
          <w:rFonts w:cs="Arial"/>
          <w:sz w:val="24"/>
          <w:u w:val="single"/>
        </w:rPr>
        <w:br w:type="page"/>
      </w:r>
    </w:p>
    <w:p w:rsidR="006D0F1C" w:rsidRPr="00092403" w:rsidRDefault="006D0F1C" w:rsidP="00A96B1E">
      <w:pPr>
        <w:spacing w:line="480" w:lineRule="auto"/>
      </w:pPr>
      <w:r w:rsidRPr="006D0F1C">
        <w:rPr>
          <w:rFonts w:cs="Arial"/>
          <w:sz w:val="24"/>
          <w:u w:val="single"/>
        </w:rPr>
        <w:lastRenderedPageBreak/>
        <w:t>Evaluation</w:t>
      </w:r>
    </w:p>
    <w:p w:rsidR="009700D5" w:rsidRDefault="00936C26" w:rsidP="00A96B1E">
      <w:pPr>
        <w:spacing w:line="480" w:lineRule="auto"/>
        <w:rPr>
          <w:rFonts w:cs="Arial"/>
          <w:color w:val="000000" w:themeColor="text1"/>
          <w:sz w:val="24"/>
          <w:shd w:val="clear" w:color="auto" w:fill="FFFFFF"/>
        </w:rPr>
      </w:pPr>
      <w:r>
        <w:rPr>
          <w:sz w:val="24"/>
        </w:rPr>
        <w:t>Social mobilisation</w:t>
      </w:r>
      <w:r w:rsidR="008053C2">
        <w:rPr>
          <w:sz w:val="24"/>
        </w:rPr>
        <w:t xml:space="preserve"> is a </w:t>
      </w:r>
      <w:r>
        <w:rPr>
          <w:sz w:val="24"/>
        </w:rPr>
        <w:t>technique which could be used to great effect</w:t>
      </w:r>
      <w:r w:rsidR="008053C2">
        <w:rPr>
          <w:sz w:val="24"/>
        </w:rPr>
        <w:t xml:space="preserve"> </w:t>
      </w:r>
      <w:r>
        <w:rPr>
          <w:sz w:val="24"/>
        </w:rPr>
        <w:t xml:space="preserve">by </w:t>
      </w:r>
      <w:r w:rsidR="006C59DB" w:rsidRPr="0082640A">
        <w:rPr>
          <w:sz w:val="24"/>
        </w:rPr>
        <w:t xml:space="preserve">Healthcare Scientists </w:t>
      </w:r>
      <w:r w:rsidR="006C59DB">
        <w:rPr>
          <w:sz w:val="24"/>
        </w:rPr>
        <w:t>(</w:t>
      </w:r>
      <w:r>
        <w:rPr>
          <w:sz w:val="24"/>
        </w:rPr>
        <w:t>HCS</w:t>
      </w:r>
      <w:r w:rsidR="006C59DB">
        <w:rPr>
          <w:sz w:val="24"/>
        </w:rPr>
        <w:t>)</w:t>
      </w:r>
      <w:r w:rsidR="00985A15">
        <w:rPr>
          <w:sz w:val="24"/>
        </w:rPr>
        <w:t>; there are currently over 56,000 HCS in the NHS workforce (</w:t>
      </w:r>
      <w:r w:rsidR="00985A15" w:rsidRPr="00186AF2">
        <w:rPr>
          <w:sz w:val="24"/>
        </w:rPr>
        <w:t>NHS England, 2020)</w:t>
      </w:r>
      <w:r w:rsidR="008053C2">
        <w:rPr>
          <w:sz w:val="24"/>
        </w:rPr>
        <w:t xml:space="preserve"> </w:t>
      </w:r>
      <w:r w:rsidR="00985A15">
        <w:rPr>
          <w:sz w:val="24"/>
        </w:rPr>
        <w:t>with HCS in Wales ‘involved in over 80% of all clinical diagnoses that directly impact upon patient care’ (</w:t>
      </w:r>
      <w:r w:rsidR="00985A15" w:rsidRPr="00D0075D">
        <w:rPr>
          <w:sz w:val="24"/>
        </w:rPr>
        <w:t>Welsh Government, 2018)</w:t>
      </w:r>
      <w:r w:rsidR="000855EA" w:rsidRPr="00D0075D">
        <w:rPr>
          <w:sz w:val="24"/>
        </w:rPr>
        <w:t>,</w:t>
      </w:r>
      <w:r w:rsidR="00046B59">
        <w:rPr>
          <w:sz w:val="24"/>
        </w:rPr>
        <w:t xml:space="preserve"> and HCS forming ‘the fourth largest clinical group’ in NHS Scotland (</w:t>
      </w:r>
      <w:r w:rsidR="00046B59" w:rsidRPr="00C86459">
        <w:rPr>
          <w:sz w:val="24"/>
        </w:rPr>
        <w:t>Scottish Government, 2024</w:t>
      </w:r>
      <w:r w:rsidR="00046B59">
        <w:rPr>
          <w:sz w:val="24"/>
        </w:rPr>
        <w:t>). Because of this</w:t>
      </w:r>
      <w:r w:rsidR="00985A15">
        <w:rPr>
          <w:sz w:val="24"/>
        </w:rPr>
        <w:t xml:space="preserve">, </w:t>
      </w:r>
      <w:r w:rsidR="002573C9">
        <w:rPr>
          <w:sz w:val="24"/>
        </w:rPr>
        <w:t xml:space="preserve">HCS </w:t>
      </w:r>
      <w:r w:rsidR="008053C2">
        <w:rPr>
          <w:sz w:val="24"/>
        </w:rPr>
        <w:t xml:space="preserve">actually have significant influence in changing practice in </w:t>
      </w:r>
      <w:r w:rsidR="000855EA">
        <w:rPr>
          <w:sz w:val="24"/>
        </w:rPr>
        <w:t>patient care</w:t>
      </w:r>
      <w:r w:rsidR="008053C2">
        <w:rPr>
          <w:sz w:val="24"/>
        </w:rPr>
        <w:t xml:space="preserve"> and </w:t>
      </w:r>
      <w:r w:rsidR="000855EA">
        <w:rPr>
          <w:sz w:val="24"/>
        </w:rPr>
        <w:t>with</w:t>
      </w:r>
      <w:r w:rsidR="008053C2">
        <w:rPr>
          <w:sz w:val="24"/>
        </w:rPr>
        <w:t xml:space="preserve">in the NHS as a whole. </w:t>
      </w:r>
      <w:r w:rsidR="00985A15">
        <w:rPr>
          <w:sz w:val="24"/>
        </w:rPr>
        <w:t xml:space="preserve">There is </w:t>
      </w:r>
      <w:r w:rsidR="00046B59">
        <w:rPr>
          <w:sz w:val="24"/>
        </w:rPr>
        <w:t xml:space="preserve">the National School of Healthcare Science in England, and </w:t>
      </w:r>
      <w:r w:rsidR="00985A15">
        <w:rPr>
          <w:sz w:val="24"/>
        </w:rPr>
        <w:t xml:space="preserve">a Healthcare Science Network </w:t>
      </w:r>
      <w:r w:rsidR="003C3524">
        <w:rPr>
          <w:sz w:val="24"/>
        </w:rPr>
        <w:t>in Wales</w:t>
      </w:r>
      <w:r w:rsidR="000855EA">
        <w:rPr>
          <w:sz w:val="24"/>
        </w:rPr>
        <w:t xml:space="preserve"> </w:t>
      </w:r>
      <w:r w:rsidR="00985A15" w:rsidRPr="00D0075D">
        <w:rPr>
          <w:sz w:val="24"/>
        </w:rPr>
        <w:t>(Welsh Government, 2018)</w:t>
      </w:r>
      <w:r w:rsidR="00046B59">
        <w:rPr>
          <w:sz w:val="24"/>
        </w:rPr>
        <w:t>, which shows these groups can work as a collective;</w:t>
      </w:r>
      <w:r w:rsidR="003C3524">
        <w:rPr>
          <w:sz w:val="24"/>
        </w:rPr>
        <w:t xml:space="preserve"> by </w:t>
      </w:r>
      <w:r w:rsidR="00046B59">
        <w:rPr>
          <w:sz w:val="24"/>
        </w:rPr>
        <w:t>working together</w:t>
      </w:r>
      <w:r w:rsidR="003C3524">
        <w:rPr>
          <w:sz w:val="24"/>
        </w:rPr>
        <w:t>, HCS can use ‘shared values and commitment’ to ‘provide access to additional resources’ and ‘develop new ways of working’ to ‘enhance receptivity of the organisation’ to ‘calls to action’ (</w:t>
      </w:r>
      <w:r w:rsidR="003C3524" w:rsidRPr="00DB5A66">
        <w:rPr>
          <w:sz w:val="24"/>
        </w:rPr>
        <w:t>Boyd et al</w:t>
      </w:r>
      <w:r w:rsidR="00DB5A66" w:rsidRPr="00DB5A66">
        <w:rPr>
          <w:sz w:val="24"/>
        </w:rPr>
        <w:t>.</w:t>
      </w:r>
      <w:r w:rsidR="0039086C" w:rsidRPr="00DB5A66">
        <w:rPr>
          <w:sz w:val="24"/>
        </w:rPr>
        <w:t xml:space="preserve"> </w:t>
      </w:r>
      <w:r w:rsidR="003C3524" w:rsidRPr="00DB5A66">
        <w:rPr>
          <w:sz w:val="24"/>
        </w:rPr>
        <w:t>2013, pg6</w:t>
      </w:r>
      <w:r w:rsidR="003C3524">
        <w:rPr>
          <w:sz w:val="24"/>
        </w:rPr>
        <w:t>).</w:t>
      </w:r>
      <w:r w:rsidR="009700D5">
        <w:rPr>
          <w:sz w:val="24"/>
        </w:rPr>
        <w:t xml:space="preserve"> </w:t>
      </w:r>
    </w:p>
    <w:p w:rsidR="009700D5" w:rsidRDefault="009700D5" w:rsidP="00A96B1E">
      <w:pPr>
        <w:spacing w:line="480" w:lineRule="auto"/>
        <w:rPr>
          <w:rFonts w:cs="Arial"/>
          <w:color w:val="000000" w:themeColor="text1"/>
          <w:sz w:val="24"/>
          <w:shd w:val="clear" w:color="auto" w:fill="FFFFFF"/>
        </w:rPr>
      </w:pPr>
    </w:p>
    <w:p w:rsidR="008053C2" w:rsidRPr="003C3524" w:rsidRDefault="009700D5" w:rsidP="00A96B1E">
      <w:pPr>
        <w:spacing w:line="480" w:lineRule="auto"/>
        <w:rPr>
          <w:sz w:val="24"/>
        </w:rPr>
      </w:pPr>
      <w:r>
        <w:rPr>
          <w:rFonts w:cs="Arial"/>
          <w:color w:val="000000" w:themeColor="text1"/>
          <w:sz w:val="24"/>
          <w:shd w:val="clear" w:color="auto" w:fill="FFFFFF"/>
        </w:rPr>
        <w:t>However, as healthcare scientists work across 50 different disciplines</w:t>
      </w:r>
      <w:r>
        <w:rPr>
          <w:rFonts w:cs="Arial"/>
          <w:color w:val="000000" w:themeColor="text1"/>
          <w:sz w:val="24"/>
          <w:shd w:val="clear" w:color="auto" w:fill="FFFFFF"/>
        </w:rPr>
        <w:t xml:space="preserve"> (</w:t>
      </w:r>
      <w:r w:rsidR="00D0075D" w:rsidRPr="00D0075D">
        <w:rPr>
          <w:rFonts w:cs="Arial"/>
          <w:color w:val="000000" w:themeColor="text1"/>
          <w:sz w:val="24"/>
          <w:shd w:val="clear" w:color="auto" w:fill="FFFFFF"/>
        </w:rPr>
        <w:t>Welsh Government, 2018</w:t>
      </w:r>
      <w:r>
        <w:rPr>
          <w:rFonts w:cs="Arial"/>
          <w:color w:val="000000" w:themeColor="text1"/>
          <w:sz w:val="24"/>
          <w:shd w:val="clear" w:color="auto" w:fill="FFFFFF"/>
        </w:rPr>
        <w:t>)</w:t>
      </w:r>
      <w:r>
        <w:rPr>
          <w:rFonts w:cs="Arial"/>
          <w:color w:val="000000" w:themeColor="text1"/>
          <w:sz w:val="24"/>
          <w:shd w:val="clear" w:color="auto" w:fill="FFFFFF"/>
        </w:rPr>
        <w:t>, with a wide range of levels of patient contact, creating a co</w:t>
      </w:r>
      <w:r>
        <w:rPr>
          <w:rFonts w:cs="Arial"/>
          <w:color w:val="000000" w:themeColor="text1"/>
          <w:sz w:val="24"/>
          <w:shd w:val="clear" w:color="auto" w:fill="FFFFFF"/>
        </w:rPr>
        <w:t>hesive</w:t>
      </w:r>
      <w:r>
        <w:rPr>
          <w:rFonts w:cs="Arial"/>
          <w:color w:val="000000" w:themeColor="text1"/>
          <w:sz w:val="24"/>
          <w:shd w:val="clear" w:color="auto" w:fill="FFFFFF"/>
        </w:rPr>
        <w:t xml:space="preserve"> approach </w:t>
      </w:r>
      <w:r>
        <w:rPr>
          <w:rFonts w:cs="Arial"/>
          <w:color w:val="000000" w:themeColor="text1"/>
          <w:sz w:val="24"/>
          <w:shd w:val="clear" w:color="auto" w:fill="FFFFFF"/>
        </w:rPr>
        <w:t xml:space="preserve">to issues </w:t>
      </w:r>
      <w:r>
        <w:rPr>
          <w:rFonts w:cs="Arial"/>
          <w:color w:val="000000" w:themeColor="text1"/>
          <w:sz w:val="24"/>
          <w:shd w:val="clear" w:color="auto" w:fill="FFFFFF"/>
        </w:rPr>
        <w:t xml:space="preserve">within this workforce may be complex. </w:t>
      </w:r>
      <w:r>
        <w:rPr>
          <w:rFonts w:cs="Arial"/>
          <w:color w:val="000000" w:themeColor="text1"/>
          <w:sz w:val="24"/>
          <w:shd w:val="clear" w:color="auto" w:fill="FFFFFF"/>
        </w:rPr>
        <w:t>Having issues which are common across this workforce that can be sold to the collective as relevant may not be possible, and therefore, perhaps HCS need to ‘buy-in’ to causes that may not be relevant to them in their work but are important to other HCS to create the concept of a group force, with the knowledge that when you want to highlight an issue, you will have the support of the group behind you</w:t>
      </w:r>
      <w:r w:rsidR="00046B59">
        <w:rPr>
          <w:rFonts w:cs="Arial"/>
          <w:color w:val="000000" w:themeColor="text1"/>
          <w:sz w:val="24"/>
          <w:shd w:val="clear" w:color="auto" w:fill="FFFFFF"/>
        </w:rPr>
        <w:t>.</w:t>
      </w:r>
    </w:p>
    <w:p w:rsidR="00985A15" w:rsidRDefault="00985A15" w:rsidP="00A96B1E">
      <w:pPr>
        <w:spacing w:line="480" w:lineRule="auto"/>
      </w:pPr>
    </w:p>
    <w:p w:rsidR="00046B59" w:rsidRDefault="00046B59" w:rsidP="00046B59">
      <w:pPr>
        <w:spacing w:line="480" w:lineRule="auto"/>
        <w:rPr>
          <w:rFonts w:cs="Arial"/>
          <w:sz w:val="24"/>
        </w:rPr>
      </w:pPr>
      <w:r>
        <w:rPr>
          <w:rFonts w:cs="Arial"/>
          <w:sz w:val="24"/>
        </w:rPr>
        <w:lastRenderedPageBreak/>
        <w:t>H</w:t>
      </w:r>
      <w:r w:rsidRPr="00046B59">
        <w:rPr>
          <w:rFonts w:cs="Arial"/>
          <w:sz w:val="24"/>
        </w:rPr>
        <w:t xml:space="preserve">ealthcare scientists often work </w:t>
      </w:r>
      <w:r>
        <w:rPr>
          <w:rFonts w:cs="Arial"/>
          <w:sz w:val="24"/>
        </w:rPr>
        <w:t xml:space="preserve">outside of the NHS as part of their role, with many having heavy involvement in industry and academia, meaning they have wide-ranging scope to create external pressure on healthcare to help push forward movements from multiple directions. </w:t>
      </w:r>
    </w:p>
    <w:p w:rsidR="00BA5021" w:rsidRPr="00046B59" w:rsidRDefault="00BA5021" w:rsidP="00046B59">
      <w:pPr>
        <w:spacing w:line="480" w:lineRule="auto"/>
        <w:rPr>
          <w:rFonts w:cs="Arial"/>
          <w:sz w:val="24"/>
        </w:rPr>
      </w:pPr>
    </w:p>
    <w:p w:rsidR="000855EA" w:rsidRDefault="00BA5021" w:rsidP="00A96B1E">
      <w:pPr>
        <w:spacing w:line="480" w:lineRule="auto"/>
        <w:rPr>
          <w:rFonts w:cs="Arial"/>
          <w:color w:val="000000" w:themeColor="text1"/>
          <w:sz w:val="24"/>
          <w:shd w:val="clear" w:color="auto" w:fill="FFFFFF"/>
        </w:rPr>
      </w:pPr>
      <w:r>
        <w:rPr>
          <w:rFonts w:cs="Arial"/>
          <w:color w:val="000000" w:themeColor="text1"/>
          <w:sz w:val="24"/>
          <w:shd w:val="clear" w:color="auto" w:fill="FFFFFF"/>
        </w:rPr>
        <w:t>HCS are at the forefront of care within the NHS and as per NHS England’s Chief Scientific Officer Strategy (2020), are expected to innovate ‘integrated models of care’ with ‘digital and data-led services’ to enable an ‘integrated patient journey’.</w:t>
      </w:r>
      <w:r>
        <w:rPr>
          <w:rFonts w:cs="Arial"/>
          <w:color w:val="000000" w:themeColor="text1"/>
          <w:sz w:val="24"/>
          <w:shd w:val="clear" w:color="auto" w:fill="FFFFFF"/>
        </w:rPr>
        <w:t xml:space="preserve"> In doing this, </w:t>
      </w:r>
      <w:r w:rsidR="00985A15">
        <w:rPr>
          <w:sz w:val="24"/>
        </w:rPr>
        <w:t xml:space="preserve">HCS </w:t>
      </w:r>
      <w:r>
        <w:rPr>
          <w:sz w:val="24"/>
        </w:rPr>
        <w:t>can be</w:t>
      </w:r>
      <w:r w:rsidR="00985A15" w:rsidRPr="0082640A">
        <w:rPr>
          <w:sz w:val="24"/>
        </w:rPr>
        <w:t xml:space="preserve"> advocates for patients</w:t>
      </w:r>
      <w:r w:rsidR="00985A15">
        <w:rPr>
          <w:sz w:val="24"/>
        </w:rPr>
        <w:t>;</w:t>
      </w:r>
      <w:r w:rsidR="000855EA">
        <w:rPr>
          <w:sz w:val="24"/>
        </w:rPr>
        <w:t xml:space="preserve"> as </w:t>
      </w:r>
      <w:r w:rsidR="00985A15">
        <w:rPr>
          <w:sz w:val="24"/>
        </w:rPr>
        <w:t xml:space="preserve">a clinical scientist I am obliged by the Health Care Professions Council (HCPC) to advocate for the wellbeing of patients I come in to contact with, </w:t>
      </w:r>
      <w:r w:rsidR="000855EA">
        <w:rPr>
          <w:sz w:val="24"/>
        </w:rPr>
        <w:t>as per standard 7.4</w:t>
      </w:r>
      <w:r w:rsidR="004F49F7">
        <w:rPr>
          <w:sz w:val="24"/>
        </w:rPr>
        <w:t>:</w:t>
      </w:r>
      <w:r w:rsidR="000855EA">
        <w:rPr>
          <w:sz w:val="24"/>
        </w:rPr>
        <w:t xml:space="preserve"> ‘</w:t>
      </w:r>
      <w:r w:rsidR="000855EA" w:rsidRPr="000855EA">
        <w:rPr>
          <w:rFonts w:cs="Arial"/>
          <w:color w:val="000000" w:themeColor="text1"/>
          <w:sz w:val="24"/>
          <w:shd w:val="clear" w:color="auto" w:fill="FFFFFF"/>
        </w:rPr>
        <w:t xml:space="preserve">You must make sure that the safety and well-being of service users always comes before any professional or other loyalties.’ </w:t>
      </w:r>
      <w:r w:rsidR="000855EA" w:rsidRPr="00D0075D">
        <w:rPr>
          <w:rFonts w:cs="Arial"/>
          <w:color w:val="000000" w:themeColor="text1"/>
          <w:sz w:val="24"/>
          <w:shd w:val="clear" w:color="auto" w:fill="FFFFFF"/>
        </w:rPr>
        <w:t>(HCPC,</w:t>
      </w:r>
      <w:r w:rsidR="000855EA" w:rsidRPr="00D0075D">
        <w:rPr>
          <w:rFonts w:cs="Arial"/>
          <w:color w:val="000000" w:themeColor="text1"/>
          <w:shd w:val="clear" w:color="auto" w:fill="FFFFFF"/>
        </w:rPr>
        <w:t xml:space="preserve"> </w:t>
      </w:r>
      <w:r w:rsidR="000855EA" w:rsidRPr="00D0075D">
        <w:rPr>
          <w:rFonts w:cs="Arial"/>
          <w:color w:val="000000" w:themeColor="text1"/>
          <w:sz w:val="24"/>
          <w:shd w:val="clear" w:color="auto" w:fill="FFFFFF"/>
        </w:rPr>
        <w:t>202</w:t>
      </w:r>
      <w:r w:rsidR="00D0075D">
        <w:rPr>
          <w:rFonts w:cs="Arial"/>
          <w:color w:val="000000" w:themeColor="text1"/>
          <w:sz w:val="24"/>
          <w:shd w:val="clear" w:color="auto" w:fill="FFFFFF"/>
        </w:rPr>
        <w:t>4</w:t>
      </w:r>
      <w:r w:rsidR="000855EA" w:rsidRPr="00D0075D">
        <w:rPr>
          <w:rFonts w:cs="Arial"/>
          <w:color w:val="000000" w:themeColor="text1"/>
          <w:sz w:val="24"/>
          <w:shd w:val="clear" w:color="auto" w:fill="FFFFFF"/>
        </w:rPr>
        <w:t>).</w:t>
      </w:r>
      <w:r w:rsidR="009700D5">
        <w:rPr>
          <w:rFonts w:cs="Arial"/>
          <w:color w:val="000000" w:themeColor="text1"/>
          <w:sz w:val="24"/>
          <w:shd w:val="clear" w:color="auto" w:fill="FFFFFF"/>
        </w:rPr>
        <w:t xml:space="preserve"> </w:t>
      </w:r>
      <w:r>
        <w:rPr>
          <w:rFonts w:cs="Arial"/>
          <w:color w:val="000000" w:themeColor="text1"/>
          <w:sz w:val="24"/>
          <w:shd w:val="clear" w:color="auto" w:fill="FFFFFF"/>
        </w:rPr>
        <w:t xml:space="preserve">Therefore, all work to develop integrated models of care of the future should be done with the benefit of patients in mind, as they are our primary focus. </w:t>
      </w:r>
      <w:r w:rsidR="009700D5">
        <w:rPr>
          <w:rFonts w:cs="Arial"/>
          <w:color w:val="000000" w:themeColor="text1"/>
          <w:sz w:val="24"/>
          <w:shd w:val="clear" w:color="auto" w:fill="FFFFFF"/>
        </w:rPr>
        <w:t xml:space="preserve">Regardless of the </w:t>
      </w:r>
      <w:r w:rsidR="00A96B1E">
        <w:rPr>
          <w:rFonts w:cs="Arial"/>
          <w:color w:val="000000" w:themeColor="text1"/>
          <w:sz w:val="24"/>
          <w:shd w:val="clear" w:color="auto" w:fill="FFFFFF"/>
        </w:rPr>
        <w:t xml:space="preserve">healthcare </w:t>
      </w:r>
      <w:r w:rsidR="009700D5">
        <w:rPr>
          <w:rFonts w:cs="Arial"/>
          <w:color w:val="000000" w:themeColor="text1"/>
          <w:sz w:val="24"/>
          <w:shd w:val="clear" w:color="auto" w:fill="FFFFFF"/>
        </w:rPr>
        <w:t xml:space="preserve">discipline and degree of patient interaction, all HCS work </w:t>
      </w:r>
      <w:r w:rsidR="00A96B1E">
        <w:rPr>
          <w:rFonts w:cs="Arial"/>
          <w:color w:val="000000" w:themeColor="text1"/>
          <w:sz w:val="24"/>
          <w:shd w:val="clear" w:color="auto" w:fill="FFFFFF"/>
        </w:rPr>
        <w:t xml:space="preserve">contributes </w:t>
      </w:r>
      <w:r w:rsidR="009700D5">
        <w:rPr>
          <w:rFonts w:cs="Arial"/>
          <w:color w:val="000000" w:themeColor="text1"/>
          <w:sz w:val="24"/>
          <w:shd w:val="clear" w:color="auto" w:fill="FFFFFF"/>
        </w:rPr>
        <w:t>towards the care of the patient</w:t>
      </w:r>
      <w:r w:rsidR="00A96B1E">
        <w:rPr>
          <w:rFonts w:cs="Arial"/>
          <w:color w:val="000000" w:themeColor="text1"/>
          <w:sz w:val="24"/>
          <w:shd w:val="clear" w:color="auto" w:fill="FFFFFF"/>
        </w:rPr>
        <w:t>,</w:t>
      </w:r>
      <w:r w:rsidR="009700D5">
        <w:rPr>
          <w:rFonts w:cs="Arial"/>
          <w:color w:val="000000" w:themeColor="text1"/>
          <w:sz w:val="24"/>
          <w:shd w:val="clear" w:color="auto" w:fill="FFFFFF"/>
        </w:rPr>
        <w:t xml:space="preserve"> </w:t>
      </w:r>
      <w:r>
        <w:rPr>
          <w:rFonts w:cs="Arial"/>
          <w:color w:val="000000" w:themeColor="text1"/>
          <w:sz w:val="24"/>
          <w:shd w:val="clear" w:color="auto" w:fill="FFFFFF"/>
        </w:rPr>
        <w:t>t</w:t>
      </w:r>
      <w:r w:rsidR="00A96B1E">
        <w:rPr>
          <w:rFonts w:cs="Arial"/>
          <w:color w:val="000000" w:themeColor="text1"/>
          <w:sz w:val="24"/>
          <w:shd w:val="clear" w:color="auto" w:fill="FFFFFF"/>
        </w:rPr>
        <w:t xml:space="preserve">herefore, I feel my call to action could be seen as relevant to healthcare scientists across all disciplines. </w:t>
      </w:r>
      <w:r w:rsidR="009700D5">
        <w:rPr>
          <w:rFonts w:cs="Arial"/>
          <w:color w:val="000000" w:themeColor="text1"/>
          <w:sz w:val="24"/>
          <w:shd w:val="clear" w:color="auto" w:fill="FFFFFF"/>
        </w:rPr>
        <w:t xml:space="preserve"> </w:t>
      </w:r>
    </w:p>
    <w:p w:rsidR="00D26791" w:rsidRDefault="00D26791" w:rsidP="00A96B1E">
      <w:pPr>
        <w:spacing w:line="480" w:lineRule="auto"/>
        <w:rPr>
          <w:rFonts w:cs="Arial"/>
          <w:color w:val="000000" w:themeColor="text1"/>
          <w:sz w:val="24"/>
          <w:shd w:val="clear" w:color="auto" w:fill="FFFFFF"/>
        </w:rPr>
      </w:pPr>
    </w:p>
    <w:p w:rsidR="000855EA" w:rsidRPr="00046B59" w:rsidRDefault="000855EA" w:rsidP="00A96B1E">
      <w:pPr>
        <w:spacing w:line="480" w:lineRule="auto"/>
        <w:rPr>
          <w:rFonts w:asciiTheme="majorHAnsi" w:hAnsiTheme="majorHAnsi" w:cstheme="majorHAnsi"/>
          <w:sz w:val="32"/>
        </w:rPr>
      </w:pPr>
    </w:p>
    <w:p w:rsidR="00F110A1" w:rsidRDefault="00F110A1" w:rsidP="00A96B1E">
      <w:pPr>
        <w:spacing w:line="480" w:lineRule="auto"/>
      </w:pPr>
    </w:p>
    <w:p w:rsidR="000855EA" w:rsidRDefault="000855EA" w:rsidP="00A96B1E">
      <w:pPr>
        <w:spacing w:line="480" w:lineRule="auto"/>
        <w:rPr>
          <w:rFonts w:cs="Arial"/>
          <w:sz w:val="24"/>
          <w:u w:val="single"/>
        </w:rPr>
      </w:pPr>
      <w:r>
        <w:rPr>
          <w:rFonts w:cs="Arial"/>
          <w:sz w:val="24"/>
          <w:u w:val="single"/>
        </w:rPr>
        <w:br w:type="page"/>
      </w:r>
    </w:p>
    <w:p w:rsidR="006F7B2A" w:rsidRDefault="006D0F1C" w:rsidP="00A96B1E">
      <w:pPr>
        <w:spacing w:line="480" w:lineRule="auto"/>
        <w:rPr>
          <w:rFonts w:cs="Arial"/>
          <w:sz w:val="24"/>
        </w:rPr>
      </w:pPr>
      <w:r w:rsidRPr="006D0F1C">
        <w:rPr>
          <w:rFonts w:cs="Arial"/>
          <w:sz w:val="24"/>
          <w:u w:val="single"/>
        </w:rPr>
        <w:lastRenderedPageBreak/>
        <w:t>Conclusion</w:t>
      </w:r>
    </w:p>
    <w:p w:rsidR="00CB70A9" w:rsidRPr="004A7A0C" w:rsidRDefault="006F7B2A" w:rsidP="00A96B1E">
      <w:pPr>
        <w:spacing w:line="480" w:lineRule="auto"/>
        <w:rPr>
          <w:rFonts w:cs="Arial"/>
          <w:sz w:val="24"/>
        </w:rPr>
      </w:pPr>
      <w:r>
        <w:rPr>
          <w:rFonts w:cs="Arial"/>
          <w:sz w:val="24"/>
        </w:rPr>
        <w:t>Social mobilisation is a powerful tool for change, particularly in the NHS</w:t>
      </w:r>
      <w:r w:rsidR="004F49F7">
        <w:rPr>
          <w:rFonts w:cs="Arial"/>
          <w:sz w:val="24"/>
        </w:rPr>
        <w:t>; by communicating</w:t>
      </w:r>
      <w:r>
        <w:rPr>
          <w:rFonts w:cs="Arial"/>
          <w:sz w:val="24"/>
        </w:rPr>
        <w:t xml:space="preserve"> </w:t>
      </w:r>
      <w:r w:rsidR="00987395">
        <w:rPr>
          <w:rFonts w:cs="Arial"/>
          <w:sz w:val="24"/>
        </w:rPr>
        <w:t xml:space="preserve">the need for change through </w:t>
      </w:r>
      <w:r>
        <w:rPr>
          <w:rFonts w:cs="Arial"/>
          <w:sz w:val="24"/>
        </w:rPr>
        <w:t xml:space="preserve">stories </w:t>
      </w:r>
      <w:r w:rsidR="004F49F7">
        <w:rPr>
          <w:rFonts w:cs="Arial"/>
          <w:sz w:val="24"/>
        </w:rPr>
        <w:t xml:space="preserve">that </w:t>
      </w:r>
      <w:r>
        <w:rPr>
          <w:rFonts w:cs="Arial"/>
          <w:sz w:val="24"/>
        </w:rPr>
        <w:t>relate to individuals on a personal level</w:t>
      </w:r>
      <w:r w:rsidR="004F49F7">
        <w:rPr>
          <w:rFonts w:cs="Arial"/>
          <w:sz w:val="24"/>
        </w:rPr>
        <w:t>, it is possible to i</w:t>
      </w:r>
      <w:r w:rsidRPr="009B4483">
        <w:rPr>
          <w:rFonts w:cs="Arial"/>
          <w:sz w:val="24"/>
        </w:rPr>
        <w:t xml:space="preserve">nvoke a social movement for long term change and improvement. </w:t>
      </w:r>
      <w:r w:rsidR="009B4483" w:rsidRPr="009B4483">
        <w:rPr>
          <w:rFonts w:cs="Arial"/>
          <w:sz w:val="24"/>
        </w:rPr>
        <w:t xml:space="preserve">By advocating for causes </w:t>
      </w:r>
      <w:r w:rsidR="005A6066">
        <w:rPr>
          <w:rFonts w:cs="Arial"/>
          <w:sz w:val="24"/>
        </w:rPr>
        <w:t>they are passionate about</w:t>
      </w:r>
      <w:r w:rsidR="009B4483" w:rsidRPr="009B4483">
        <w:rPr>
          <w:rFonts w:cs="Arial"/>
          <w:sz w:val="24"/>
        </w:rPr>
        <w:t>, healthcare scientists</w:t>
      </w:r>
      <w:r w:rsidR="009B4483">
        <w:rPr>
          <w:rFonts w:cs="Arial"/>
          <w:sz w:val="24"/>
        </w:rPr>
        <w:t xml:space="preserve"> </w:t>
      </w:r>
      <w:r w:rsidR="0004441E">
        <w:rPr>
          <w:rFonts w:cs="Arial"/>
          <w:sz w:val="24"/>
        </w:rPr>
        <w:t>in particular</w:t>
      </w:r>
      <w:r w:rsidR="009B4483" w:rsidRPr="009B4483">
        <w:rPr>
          <w:rFonts w:cs="Arial"/>
          <w:sz w:val="24"/>
        </w:rPr>
        <w:t xml:space="preserve"> have the ability </w:t>
      </w:r>
      <w:r w:rsidR="009B4483">
        <w:rPr>
          <w:rFonts w:cs="Arial"/>
          <w:sz w:val="24"/>
        </w:rPr>
        <w:t>to drive forwards change in patient care due to</w:t>
      </w:r>
      <w:r w:rsidR="0004441E">
        <w:rPr>
          <w:rFonts w:cs="Arial"/>
          <w:sz w:val="24"/>
        </w:rPr>
        <w:t xml:space="preserve"> the</w:t>
      </w:r>
      <w:r w:rsidR="004A7A0C">
        <w:rPr>
          <w:rFonts w:cs="Arial"/>
          <w:sz w:val="24"/>
        </w:rPr>
        <w:t>ir</w:t>
      </w:r>
      <w:r w:rsidR="0004441E">
        <w:rPr>
          <w:rFonts w:cs="Arial"/>
          <w:sz w:val="24"/>
        </w:rPr>
        <w:t xml:space="preserve"> </w:t>
      </w:r>
      <w:r w:rsidR="009B4483">
        <w:rPr>
          <w:rFonts w:cs="Arial"/>
          <w:sz w:val="24"/>
        </w:rPr>
        <w:t>considerable involvement</w:t>
      </w:r>
      <w:r w:rsidR="008847AA">
        <w:rPr>
          <w:rFonts w:cs="Arial"/>
          <w:sz w:val="24"/>
        </w:rPr>
        <w:t>, and therefore influence, with</w:t>
      </w:r>
      <w:r w:rsidR="009B4483">
        <w:rPr>
          <w:rFonts w:cs="Arial"/>
          <w:sz w:val="24"/>
        </w:rPr>
        <w:t xml:space="preserve">in </w:t>
      </w:r>
      <w:r w:rsidR="0004441E">
        <w:rPr>
          <w:rFonts w:cs="Arial"/>
          <w:sz w:val="24"/>
        </w:rPr>
        <w:t xml:space="preserve">clinical </w:t>
      </w:r>
      <w:r w:rsidR="004A7A0C">
        <w:rPr>
          <w:rFonts w:cs="Arial"/>
          <w:sz w:val="24"/>
        </w:rPr>
        <w:t>management</w:t>
      </w:r>
      <w:r w:rsidR="009B4483">
        <w:rPr>
          <w:rFonts w:cs="Arial"/>
          <w:sz w:val="24"/>
        </w:rPr>
        <w:t>. By working as a collective</w:t>
      </w:r>
      <w:r w:rsidR="004A7A0C">
        <w:rPr>
          <w:rFonts w:cs="Arial"/>
          <w:sz w:val="24"/>
        </w:rPr>
        <w:t xml:space="preserve"> force</w:t>
      </w:r>
      <w:r w:rsidR="0004441E">
        <w:rPr>
          <w:rFonts w:cs="Arial"/>
          <w:sz w:val="24"/>
        </w:rPr>
        <w:t>,</w:t>
      </w:r>
      <w:r w:rsidR="004A7A0C">
        <w:rPr>
          <w:rFonts w:cs="Arial"/>
          <w:sz w:val="24"/>
        </w:rPr>
        <w:t xml:space="preserve"> </w:t>
      </w:r>
      <w:r>
        <w:rPr>
          <w:rFonts w:cs="Arial"/>
          <w:sz w:val="24"/>
        </w:rPr>
        <w:t>with the ability to engage with the public</w:t>
      </w:r>
      <w:r w:rsidR="009845A8">
        <w:rPr>
          <w:rFonts w:cs="Arial"/>
          <w:sz w:val="24"/>
        </w:rPr>
        <w:t>, peers and stakeholders</w:t>
      </w:r>
      <w:r>
        <w:rPr>
          <w:rFonts w:cs="Arial"/>
          <w:sz w:val="24"/>
        </w:rPr>
        <w:t xml:space="preserve"> </w:t>
      </w:r>
      <w:r w:rsidR="004A7A0C">
        <w:rPr>
          <w:rFonts w:cs="Arial"/>
          <w:sz w:val="24"/>
        </w:rPr>
        <w:t>through relatable storytelling</w:t>
      </w:r>
      <w:r>
        <w:rPr>
          <w:rFonts w:cs="Arial"/>
          <w:sz w:val="24"/>
        </w:rPr>
        <w:t xml:space="preserve">, </w:t>
      </w:r>
      <w:r w:rsidR="0004441E">
        <w:rPr>
          <w:rFonts w:cs="Arial"/>
          <w:sz w:val="24"/>
        </w:rPr>
        <w:t xml:space="preserve">healthcare scientists can be a force for good in the NHS workforce. </w:t>
      </w:r>
      <w:r w:rsidR="00CB70A9">
        <w:rPr>
          <w:rFonts w:cs="Arial"/>
          <w:b/>
          <w:sz w:val="24"/>
          <w:u w:val="single"/>
        </w:rPr>
        <w:br w:type="page"/>
      </w:r>
    </w:p>
    <w:p w:rsidR="00CB70A9" w:rsidRPr="003D0F18" w:rsidRDefault="00CB70A9" w:rsidP="00576E9E">
      <w:pPr>
        <w:spacing w:line="360" w:lineRule="auto"/>
        <w:rPr>
          <w:rFonts w:cs="Arial"/>
          <w:sz w:val="24"/>
          <w:u w:val="single"/>
        </w:rPr>
      </w:pPr>
      <w:r w:rsidRPr="003D0F18">
        <w:rPr>
          <w:rFonts w:cs="Arial"/>
          <w:sz w:val="24"/>
          <w:u w:val="single"/>
        </w:rPr>
        <w:lastRenderedPageBreak/>
        <w:t>References</w:t>
      </w:r>
    </w:p>
    <w:p w:rsidR="00DB5A66" w:rsidRPr="00DB5A66" w:rsidRDefault="00980579" w:rsidP="00D0075D">
      <w:pPr>
        <w:pStyle w:val="Bibliography"/>
        <w:rPr>
          <w:rFonts w:cs="Arial"/>
          <w:sz w:val="24"/>
        </w:rPr>
      </w:pPr>
      <w:r>
        <w:rPr>
          <w:rFonts w:cs="Arial"/>
        </w:rPr>
        <w:fldChar w:fldCharType="begin"/>
      </w:r>
      <w:r>
        <w:rPr>
          <w:rFonts w:cs="Arial"/>
        </w:rPr>
        <w:instrText xml:space="preserve"> ADDIN ZOTERO_BIBL {"uncited":[],"omitted":[],"custom":[]} CSL_BIBLIOGRAPHY </w:instrText>
      </w:r>
      <w:r>
        <w:rPr>
          <w:rFonts w:cs="Arial"/>
        </w:rPr>
        <w:fldChar w:fldCharType="separate"/>
      </w:r>
      <w:r w:rsidR="00DB5A66" w:rsidRPr="00DB5A66">
        <w:rPr>
          <w:rFonts w:cs="Arial"/>
          <w:sz w:val="24"/>
        </w:rPr>
        <w:t>Boyd, A., Burnes, B., Clark, E., &amp; Nelson, A. (2013). Mobilising and Organising for Large Scale Change in Healthcare. NHS Improving Quality.</w:t>
      </w:r>
    </w:p>
    <w:p w:rsidR="00980579" w:rsidRDefault="00980579" w:rsidP="005860E7">
      <w:pPr>
        <w:rPr>
          <w:rFonts w:cs="Arial"/>
          <w:sz w:val="24"/>
        </w:rPr>
      </w:pPr>
      <w:r>
        <w:rPr>
          <w:rFonts w:cs="Arial"/>
          <w:sz w:val="24"/>
        </w:rPr>
        <w:t xml:space="preserve">Cardiff and Vale University Health Board (2023). </w:t>
      </w:r>
      <w:r w:rsidRPr="004B7341">
        <w:rPr>
          <w:rFonts w:cs="Arial"/>
          <w:sz w:val="24"/>
        </w:rPr>
        <w:t>South East Wales Vascular Network Annual Report (</w:t>
      </w:r>
      <w:r>
        <w:rPr>
          <w:rFonts w:cs="Arial"/>
          <w:sz w:val="24"/>
        </w:rPr>
        <w:t xml:space="preserve">2022- </w:t>
      </w:r>
      <w:r w:rsidRPr="004B7341">
        <w:rPr>
          <w:rFonts w:cs="Arial"/>
          <w:sz w:val="24"/>
        </w:rPr>
        <w:t xml:space="preserve">2023). </w:t>
      </w:r>
      <w:r>
        <w:rPr>
          <w:rFonts w:cs="Arial"/>
          <w:sz w:val="24"/>
        </w:rPr>
        <w:t xml:space="preserve">Cardiff and Vale University Health Board, Cardiff. </w:t>
      </w:r>
    </w:p>
    <w:p w:rsidR="007E627A" w:rsidRDefault="007E627A" w:rsidP="005860E7">
      <w:pPr>
        <w:rPr>
          <w:rFonts w:cs="Arial"/>
          <w:sz w:val="24"/>
        </w:rPr>
      </w:pPr>
    </w:p>
    <w:p w:rsidR="007E627A" w:rsidRDefault="007E627A" w:rsidP="005860E7">
      <w:pPr>
        <w:rPr>
          <w:rFonts w:cs="Arial"/>
          <w:sz w:val="24"/>
        </w:rPr>
      </w:pPr>
      <w:r>
        <w:rPr>
          <w:rFonts w:cs="Arial"/>
          <w:sz w:val="24"/>
        </w:rPr>
        <w:t>Chambers, N</w:t>
      </w:r>
      <w:r w:rsidR="00C86459">
        <w:rPr>
          <w:rFonts w:cs="Arial"/>
          <w:sz w:val="24"/>
        </w:rPr>
        <w:t xml:space="preserve">. and Taylor, J. (2021) Organising care around patients: Stories from the frontline of the NHS. Manchester University Press. Available from: </w:t>
      </w:r>
      <w:r w:rsidR="00C86459" w:rsidRPr="00C86459">
        <w:rPr>
          <w:rFonts w:cs="Arial"/>
          <w:sz w:val="24"/>
        </w:rPr>
        <w:t>https://library.oapen.org/bitstream/handle/20.500.12657/50919/1/9781526147448_fullhl.pdf</w:t>
      </w:r>
      <w:r w:rsidR="00C86459">
        <w:rPr>
          <w:rFonts w:cs="Arial"/>
          <w:sz w:val="24"/>
        </w:rPr>
        <w:t>, [Accessed January 7, 2024].</w:t>
      </w:r>
    </w:p>
    <w:p w:rsidR="00DB5A66" w:rsidRDefault="00DB5A66" w:rsidP="005860E7">
      <w:pPr>
        <w:rPr>
          <w:rFonts w:cs="Arial"/>
          <w:sz w:val="24"/>
        </w:rPr>
      </w:pPr>
    </w:p>
    <w:p w:rsidR="00DB5A66" w:rsidRDefault="00DB5A66" w:rsidP="00DB5A66">
      <w:pPr>
        <w:rPr>
          <w:rFonts w:cs="Arial"/>
          <w:sz w:val="24"/>
        </w:rPr>
      </w:pPr>
      <w:r>
        <w:rPr>
          <w:rFonts w:cs="Arial"/>
          <w:sz w:val="24"/>
        </w:rPr>
        <w:t xml:space="preserve">Ganz, M (2010). Leading Change: Leadership, Organization and Social Movements. Excerpted from </w:t>
      </w:r>
      <w:r>
        <w:rPr>
          <w:rFonts w:cs="Arial"/>
          <w:i/>
          <w:sz w:val="24"/>
        </w:rPr>
        <w:t xml:space="preserve">Handbook of Leadership Theory and Practice: A Harvard Business School Centennial Colloquium. </w:t>
      </w:r>
      <w:r>
        <w:rPr>
          <w:rFonts w:cs="Arial"/>
          <w:sz w:val="24"/>
        </w:rPr>
        <w:t>Harvard Business School Publishing Corporation.</w:t>
      </w:r>
    </w:p>
    <w:p w:rsidR="00D0075D" w:rsidRDefault="00D0075D" w:rsidP="00DB5A66">
      <w:pPr>
        <w:rPr>
          <w:rFonts w:cs="Arial"/>
          <w:sz w:val="24"/>
        </w:rPr>
      </w:pPr>
    </w:p>
    <w:p w:rsidR="00D0075D" w:rsidRPr="00DB5A66" w:rsidRDefault="00D0075D" w:rsidP="00DB5A66">
      <w:pPr>
        <w:rPr>
          <w:rFonts w:cs="Arial"/>
          <w:sz w:val="24"/>
        </w:rPr>
      </w:pPr>
      <w:r>
        <w:rPr>
          <w:rFonts w:cs="Arial"/>
          <w:sz w:val="24"/>
        </w:rPr>
        <w:t xml:space="preserve">Health Care Professions Council (2024). Standards of conduct, performance and ethics. Available from: </w:t>
      </w:r>
      <w:r w:rsidRPr="00D0075D">
        <w:rPr>
          <w:rFonts w:cs="Arial"/>
          <w:sz w:val="24"/>
        </w:rPr>
        <w:t xml:space="preserve">https://www.hcpc-uk.org/standards/standards-of-conduct-performance-and-ethics/ </w:t>
      </w:r>
      <w:r>
        <w:rPr>
          <w:rFonts w:cs="Arial"/>
          <w:sz w:val="24"/>
        </w:rPr>
        <w:t xml:space="preserve">[Accessed January 4, 2024]. </w:t>
      </w:r>
    </w:p>
    <w:p w:rsidR="00DB5A66" w:rsidRDefault="00DB5A66" w:rsidP="005860E7">
      <w:pPr>
        <w:rPr>
          <w:rFonts w:cs="Arial"/>
          <w:sz w:val="24"/>
        </w:rPr>
      </w:pPr>
    </w:p>
    <w:p w:rsidR="00DB5A66" w:rsidRPr="004B7341" w:rsidRDefault="00DB5A66" w:rsidP="005860E7">
      <w:pPr>
        <w:rPr>
          <w:rFonts w:cs="Arial"/>
          <w:sz w:val="24"/>
        </w:rPr>
      </w:pPr>
      <w:r>
        <w:rPr>
          <w:rFonts w:cs="Arial"/>
          <w:sz w:val="24"/>
        </w:rPr>
        <w:t xml:space="preserve">Institute for Healthcare Improvement (2016). 100,000 Lives Campaign: Ten Years Later. Available from: </w:t>
      </w:r>
      <w:r w:rsidRPr="00DB5A66">
        <w:rPr>
          <w:rFonts w:cs="Arial"/>
          <w:sz w:val="24"/>
        </w:rPr>
        <w:t>https://www.ihi.org/insights/100000-lives-campaign-ten-years-later</w:t>
      </w:r>
      <w:r>
        <w:rPr>
          <w:rFonts w:cs="Arial"/>
          <w:sz w:val="24"/>
        </w:rPr>
        <w:t xml:space="preserve"> [Accessed January 16, 2024]. </w:t>
      </w:r>
    </w:p>
    <w:p w:rsidR="00980579" w:rsidRPr="00980579" w:rsidRDefault="00980579" w:rsidP="005860E7"/>
    <w:p w:rsidR="00980579" w:rsidRDefault="00980579" w:rsidP="005860E7">
      <w:pPr>
        <w:pStyle w:val="Bibliography"/>
        <w:rPr>
          <w:rFonts w:cs="Arial"/>
          <w:sz w:val="24"/>
        </w:rPr>
      </w:pPr>
      <w:r w:rsidRPr="00980579">
        <w:rPr>
          <w:rFonts w:cs="Arial"/>
          <w:sz w:val="24"/>
        </w:rPr>
        <w:t xml:space="preserve">Nelson, E.C. et al. (2015). Patient reported outcome measures in practice. </w:t>
      </w:r>
      <w:r w:rsidRPr="00980579">
        <w:rPr>
          <w:rFonts w:cs="Arial"/>
          <w:i/>
          <w:iCs/>
          <w:sz w:val="24"/>
        </w:rPr>
        <w:t>BMJ</w:t>
      </w:r>
      <w:r w:rsidRPr="00980579">
        <w:rPr>
          <w:rFonts w:cs="Arial"/>
          <w:sz w:val="24"/>
        </w:rPr>
        <w:t xml:space="preserve">, 350, </w:t>
      </w:r>
      <w:proofErr w:type="gramStart"/>
      <w:r w:rsidRPr="00980579">
        <w:rPr>
          <w:rFonts w:cs="Arial"/>
          <w:sz w:val="24"/>
        </w:rPr>
        <w:t>p.g</w:t>
      </w:r>
      <w:proofErr w:type="gramEnd"/>
      <w:r w:rsidRPr="00980579">
        <w:rPr>
          <w:rFonts w:cs="Arial"/>
          <w:sz w:val="24"/>
        </w:rPr>
        <w:t>7818.</w:t>
      </w:r>
    </w:p>
    <w:p w:rsidR="00C86459" w:rsidRDefault="00C86459" w:rsidP="00C86459">
      <w:pPr>
        <w:rPr>
          <w:sz w:val="24"/>
        </w:rPr>
      </w:pPr>
      <w:r w:rsidRPr="00C86459">
        <w:rPr>
          <w:sz w:val="24"/>
        </w:rPr>
        <w:t xml:space="preserve">NHS Digital (2023). Patient Reported Outcome Measures (PROMs). Available from: https://digital.nhs.uk/data-and-information/data-tools-and-services/data-services/patient-reported-outcome-measures-proms, [Accessed January 19, 2024]. </w:t>
      </w:r>
    </w:p>
    <w:p w:rsidR="00186AF2" w:rsidRDefault="00186AF2" w:rsidP="00C86459">
      <w:pPr>
        <w:rPr>
          <w:sz w:val="24"/>
        </w:rPr>
      </w:pPr>
    </w:p>
    <w:p w:rsidR="00186AF2" w:rsidRPr="00186AF2" w:rsidRDefault="00186AF2" w:rsidP="00C86459">
      <w:pPr>
        <w:rPr>
          <w:sz w:val="24"/>
        </w:rPr>
      </w:pPr>
      <w:r>
        <w:rPr>
          <w:sz w:val="24"/>
        </w:rPr>
        <w:t xml:space="preserve">NHS England (2020). Science in healthcare: Delivering the NHS Long Term Plan, </w:t>
      </w:r>
      <w:r>
        <w:rPr>
          <w:i/>
          <w:sz w:val="24"/>
        </w:rPr>
        <w:t>The Chief Scientific Officer's strategy</w:t>
      </w:r>
      <w:r>
        <w:rPr>
          <w:sz w:val="24"/>
        </w:rPr>
        <w:t xml:space="preserve">. Available from: </w:t>
      </w:r>
      <w:r w:rsidRPr="00186AF2">
        <w:rPr>
          <w:sz w:val="24"/>
        </w:rPr>
        <w:t>https://www.england.nhs.uk/publication/chief-scientific-officers-strategy/</w:t>
      </w:r>
      <w:r>
        <w:rPr>
          <w:sz w:val="24"/>
        </w:rPr>
        <w:t xml:space="preserve">, [Accessed January 11, 2024]. </w:t>
      </w:r>
    </w:p>
    <w:p w:rsidR="00C86459" w:rsidRPr="00C86459" w:rsidRDefault="00C86459" w:rsidP="00C86459"/>
    <w:p w:rsidR="00980579" w:rsidRDefault="00980579" w:rsidP="005860E7">
      <w:pPr>
        <w:pStyle w:val="Bibliography"/>
        <w:rPr>
          <w:rFonts w:cs="Arial"/>
          <w:sz w:val="24"/>
        </w:rPr>
      </w:pPr>
      <w:r w:rsidRPr="00980579">
        <w:rPr>
          <w:rFonts w:cs="Arial"/>
          <w:sz w:val="24"/>
        </w:rPr>
        <w:t>Rogers, T., Goldstein, N.J. and Fox, C.R. (2017). Social Mobilization.</w:t>
      </w:r>
    </w:p>
    <w:p w:rsidR="00C86459" w:rsidRDefault="00C86459" w:rsidP="00C86459">
      <w:pPr>
        <w:rPr>
          <w:sz w:val="24"/>
        </w:rPr>
      </w:pPr>
      <w:r w:rsidRPr="00C86459">
        <w:rPr>
          <w:sz w:val="24"/>
        </w:rPr>
        <w:t xml:space="preserve">Scottish Government (2024). Health Workforce policy: Healthcare science.  </w:t>
      </w:r>
      <w:r w:rsidR="00D0075D">
        <w:rPr>
          <w:sz w:val="24"/>
        </w:rPr>
        <w:t xml:space="preserve">Available from: </w:t>
      </w:r>
      <w:r w:rsidRPr="00C86459">
        <w:rPr>
          <w:sz w:val="24"/>
        </w:rPr>
        <w:t>https://www.gov.scot/policies/health-workforce/healthcare-scientists/, [Accessed January 20, 2024]</w:t>
      </w:r>
    </w:p>
    <w:p w:rsidR="00C86459" w:rsidRPr="00C86459" w:rsidRDefault="00C86459" w:rsidP="00C86459">
      <w:pPr>
        <w:rPr>
          <w:sz w:val="24"/>
        </w:rPr>
      </w:pPr>
    </w:p>
    <w:p w:rsidR="00980579" w:rsidRPr="00980579" w:rsidRDefault="00980579" w:rsidP="005860E7">
      <w:pPr>
        <w:pStyle w:val="Bibliography"/>
        <w:rPr>
          <w:rFonts w:cs="Arial"/>
          <w:sz w:val="24"/>
        </w:rPr>
      </w:pPr>
      <w:r w:rsidRPr="00980579">
        <w:rPr>
          <w:rFonts w:cs="Arial"/>
          <w:sz w:val="24"/>
        </w:rPr>
        <w:t xml:space="preserve">Schneiberg, M. and Lounsbury, M. (2017). Social Movements and the Dynamics of Institutions and Organizations. In </w:t>
      </w:r>
      <w:proofErr w:type="gramStart"/>
      <w:r w:rsidRPr="00980579">
        <w:rPr>
          <w:rFonts w:cs="Arial"/>
          <w:i/>
          <w:iCs/>
          <w:sz w:val="24"/>
        </w:rPr>
        <w:t>The</w:t>
      </w:r>
      <w:proofErr w:type="gramEnd"/>
      <w:r w:rsidRPr="00980579">
        <w:rPr>
          <w:rFonts w:cs="Arial"/>
          <w:i/>
          <w:iCs/>
          <w:sz w:val="24"/>
        </w:rPr>
        <w:t xml:space="preserve"> SAGE Handbook of Organizational Institutionalism</w:t>
      </w:r>
      <w:r w:rsidRPr="00980579">
        <w:rPr>
          <w:rFonts w:cs="Arial"/>
          <w:sz w:val="24"/>
        </w:rPr>
        <w:t>. 1 Oliver’s Yard, 55 City Road London EC1Y 1SP: SAGE Publications Ltd, pp. 281–310. [online]. Available from: https://sk.sagepub.com/reference/sage-handbook-of-organizational-institutionalism-2e/i2253.xml [Accessed January 20, 2024].</w:t>
      </w:r>
    </w:p>
    <w:p w:rsidR="00980579" w:rsidRPr="00980579" w:rsidRDefault="00980579" w:rsidP="005860E7">
      <w:pPr>
        <w:pStyle w:val="Bibliography"/>
        <w:rPr>
          <w:rFonts w:cs="Arial"/>
          <w:sz w:val="24"/>
        </w:rPr>
      </w:pPr>
      <w:r w:rsidRPr="00980579">
        <w:rPr>
          <w:rFonts w:cs="Arial"/>
          <w:sz w:val="24"/>
        </w:rPr>
        <w:t xml:space="preserve">Sen, A. and </w:t>
      </w:r>
      <w:proofErr w:type="spellStart"/>
      <w:r w:rsidRPr="00980579">
        <w:rPr>
          <w:rFonts w:cs="Arial"/>
          <w:sz w:val="24"/>
        </w:rPr>
        <w:t>Avci</w:t>
      </w:r>
      <w:proofErr w:type="spellEnd"/>
      <w:r w:rsidRPr="00980579">
        <w:rPr>
          <w:rFonts w:cs="Arial"/>
          <w:sz w:val="24"/>
        </w:rPr>
        <w:t xml:space="preserve">, Ö. (2016). WHY SOCIAL MOVEMENTS OCCUR: THEORIES OF SOCIAL MOVEMENTS. </w:t>
      </w:r>
      <w:r w:rsidRPr="00980579">
        <w:rPr>
          <w:rFonts w:cs="Arial"/>
          <w:i/>
          <w:iCs/>
          <w:sz w:val="24"/>
        </w:rPr>
        <w:t>Knowledge Management</w:t>
      </w:r>
      <w:r w:rsidRPr="00980579">
        <w:rPr>
          <w:rFonts w:cs="Arial"/>
          <w:sz w:val="24"/>
        </w:rPr>
        <w:t>.</w:t>
      </w:r>
    </w:p>
    <w:p w:rsidR="00D0075D" w:rsidRPr="001B6F44" w:rsidRDefault="00980579" w:rsidP="001B6F44">
      <w:pPr>
        <w:pStyle w:val="Bibliography"/>
        <w:rPr>
          <w:rFonts w:cs="Arial"/>
          <w:sz w:val="24"/>
        </w:rPr>
      </w:pPr>
      <w:r w:rsidRPr="00980579">
        <w:rPr>
          <w:rFonts w:cs="Arial"/>
          <w:sz w:val="24"/>
        </w:rPr>
        <w:t xml:space="preserve">Turner, K. (2023). A win or a flop? Measuring mass protest successfulness in authoritarian settings. </w:t>
      </w:r>
      <w:r w:rsidRPr="00980579">
        <w:rPr>
          <w:rFonts w:cs="Arial"/>
          <w:i/>
          <w:iCs/>
          <w:sz w:val="24"/>
        </w:rPr>
        <w:t>Journal of Peace Research</w:t>
      </w:r>
      <w:r w:rsidRPr="00980579">
        <w:rPr>
          <w:rFonts w:cs="Arial"/>
          <w:sz w:val="24"/>
        </w:rPr>
        <w:t>, 60(1), pp.107–123.</w:t>
      </w:r>
    </w:p>
    <w:p w:rsidR="00D0075D" w:rsidRPr="00D0075D" w:rsidRDefault="00D0075D" w:rsidP="00D0075D">
      <w:pPr>
        <w:rPr>
          <w:sz w:val="24"/>
        </w:rPr>
      </w:pPr>
      <w:r w:rsidRPr="00D0075D">
        <w:rPr>
          <w:sz w:val="24"/>
        </w:rPr>
        <w:t xml:space="preserve">Welsh Government (2018). Healthcare Science in NHS Wales: Looking forward. Available from: https://www.gov.wales/sites/default/files/publications/2019-03/healthcare-science-in-nhs-wales.pdf, [Accessed January 11, 2024]. </w:t>
      </w:r>
    </w:p>
    <w:p w:rsidR="004B7341" w:rsidRDefault="00980579" w:rsidP="005860E7">
      <w:pPr>
        <w:rPr>
          <w:rFonts w:cs="Arial"/>
          <w:sz w:val="24"/>
        </w:rPr>
      </w:pPr>
      <w:r>
        <w:rPr>
          <w:rFonts w:cs="Arial"/>
          <w:sz w:val="24"/>
        </w:rPr>
        <w:fldChar w:fldCharType="end"/>
      </w:r>
    </w:p>
    <w:p w:rsidR="004B7341" w:rsidRDefault="004B7341" w:rsidP="00101669">
      <w:pPr>
        <w:spacing w:line="360" w:lineRule="auto"/>
        <w:jc w:val="right"/>
        <w:rPr>
          <w:rFonts w:cs="Arial"/>
          <w:sz w:val="24"/>
        </w:rPr>
      </w:pPr>
    </w:p>
    <w:sectPr w:rsidR="004B7341" w:rsidSect="00202DE5">
      <w:headerReference w:type="default" r:id="rId9"/>
      <w:footerReference w:type="default" r:id="rId10"/>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75F" w:rsidRDefault="0060275F">
      <w:r>
        <w:separator/>
      </w:r>
    </w:p>
  </w:endnote>
  <w:endnote w:type="continuationSeparator" w:id="0">
    <w:p w:rsidR="0060275F" w:rsidRDefault="0060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45 Ligh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DE5" w:rsidRDefault="00202DE5" w:rsidP="00202DE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75F" w:rsidRDefault="0060275F">
      <w:r>
        <w:separator/>
      </w:r>
    </w:p>
  </w:footnote>
  <w:footnote w:type="continuationSeparator" w:id="0">
    <w:p w:rsidR="0060275F" w:rsidRDefault="00602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317" w:rsidRDefault="00C7544B">
    <w:pPr>
      <w:pStyle w:val="Header"/>
    </w:pPr>
    <w:r w:rsidRPr="00F9659C">
      <w:rPr>
        <w:noProof/>
        <w:lang w:eastAsia="en-GB"/>
      </w:rPr>
      <w:drawing>
        <wp:inline distT="0" distB="0" distL="0" distR="0" wp14:anchorId="19742809" wp14:editId="774ACE06">
          <wp:extent cx="2057400" cy="819150"/>
          <wp:effectExtent l="0" t="0" r="0" b="0"/>
          <wp:docPr id="3" name="Picture 1" descr="Logo of Alliance Manchester Business School, The University of Manchester&#10;&#10;This is the logo of Alliance Manchester Business School, The University of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Alliance Manchester Business School, The University of Manchester&#10;&#10;This is the logo of Alliance Manchester Business School, The University of Manche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19150"/>
                  </a:xfrm>
                  <a:prstGeom prst="rect">
                    <a:avLst/>
                  </a:prstGeom>
                  <a:noFill/>
                  <a:ln>
                    <a:noFill/>
                  </a:ln>
                </pic:spPr>
              </pic:pic>
            </a:graphicData>
          </a:graphic>
        </wp:inline>
      </w:drawing>
    </w:r>
  </w:p>
  <w:p w:rsidR="00A03317" w:rsidRDefault="00A03317">
    <w:pPr>
      <w:pStyle w:val="Header"/>
    </w:pPr>
  </w:p>
  <w:p w:rsidR="00A03317" w:rsidRDefault="00A033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DE5" w:rsidRDefault="00CB70A9" w:rsidP="00764817">
    <w:pPr>
      <w:pStyle w:val="Header"/>
      <w:jc w:val="right"/>
    </w:pPr>
    <w:r>
      <w:t>7061636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CDE834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B6264"/>
    <w:multiLevelType w:val="hybridMultilevel"/>
    <w:tmpl w:val="B908EF40"/>
    <w:lvl w:ilvl="0" w:tplc="56F6B48E">
      <w:start w:val="1"/>
      <w:numFmt w:val="bullet"/>
      <w:pStyle w:val="List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3A84FD4"/>
    <w:multiLevelType w:val="hybridMultilevel"/>
    <w:tmpl w:val="8124D2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CAC1803"/>
    <w:multiLevelType w:val="multilevel"/>
    <w:tmpl w:val="D4F40A98"/>
    <w:styleLink w:val="StyleNumbered"/>
    <w:lvl w:ilvl="0">
      <w:start w:val="1"/>
      <w:numFmt w:val="decimal"/>
      <w:lvlText w:val="%1."/>
      <w:lvlJc w:val="left"/>
      <w:pPr>
        <w:tabs>
          <w:tab w:val="num" w:pos="720"/>
        </w:tabs>
        <w:ind w:left="720" w:hanging="360"/>
      </w:pPr>
      <w:rPr>
        <w:rFonts w:ascii="Arial" w:hAnsi="Arial"/>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AC91AE4"/>
    <w:multiLevelType w:val="hybridMultilevel"/>
    <w:tmpl w:val="8474DC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997606"/>
    <w:multiLevelType w:val="hybridMultilevel"/>
    <w:tmpl w:val="3DF2EB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2A247C"/>
    <w:multiLevelType w:val="hybridMultilevel"/>
    <w:tmpl w:val="D35052C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75A6186"/>
    <w:multiLevelType w:val="hybridMultilevel"/>
    <w:tmpl w:val="36F4AE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E91588"/>
    <w:multiLevelType w:val="hybridMultilevel"/>
    <w:tmpl w:val="6FA468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CD0A22"/>
    <w:multiLevelType w:val="multilevel"/>
    <w:tmpl w:val="E200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7"/>
  </w:num>
  <w:num w:numId="5">
    <w:abstractNumId w:val="5"/>
  </w:num>
  <w:num w:numId="6">
    <w:abstractNumId w:val="4"/>
  </w:num>
  <w:num w:numId="7">
    <w:abstractNumId w:val="8"/>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zNLE0MjYwMzQwtzRX0lEKTi0uzszPAykwqQUAiWIb0SwAAAA="/>
  </w:docVars>
  <w:rsids>
    <w:rsidRoot w:val="0060275F"/>
    <w:rsid w:val="00014E4F"/>
    <w:rsid w:val="000266D4"/>
    <w:rsid w:val="00027630"/>
    <w:rsid w:val="00032EC4"/>
    <w:rsid w:val="0004441E"/>
    <w:rsid w:val="00044593"/>
    <w:rsid w:val="0004661E"/>
    <w:rsid w:val="00046B59"/>
    <w:rsid w:val="00051C77"/>
    <w:rsid w:val="00052789"/>
    <w:rsid w:val="00077DF9"/>
    <w:rsid w:val="00084328"/>
    <w:rsid w:val="000855EA"/>
    <w:rsid w:val="00092403"/>
    <w:rsid w:val="000A47A9"/>
    <w:rsid w:val="000A5CD9"/>
    <w:rsid w:val="000B1AF1"/>
    <w:rsid w:val="000B4D4B"/>
    <w:rsid w:val="000B7D07"/>
    <w:rsid w:val="000C669B"/>
    <w:rsid w:val="000C7160"/>
    <w:rsid w:val="000C77E6"/>
    <w:rsid w:val="000D39EA"/>
    <w:rsid w:val="000F25C0"/>
    <w:rsid w:val="000F4D17"/>
    <w:rsid w:val="00101669"/>
    <w:rsid w:val="00113BF4"/>
    <w:rsid w:val="00121DCE"/>
    <w:rsid w:val="001548AA"/>
    <w:rsid w:val="00164768"/>
    <w:rsid w:val="001835BC"/>
    <w:rsid w:val="00186AF2"/>
    <w:rsid w:val="001939DC"/>
    <w:rsid w:val="001957D4"/>
    <w:rsid w:val="0019684D"/>
    <w:rsid w:val="001A5768"/>
    <w:rsid w:val="001B6F44"/>
    <w:rsid w:val="00201B5B"/>
    <w:rsid w:val="00202DE5"/>
    <w:rsid w:val="002041A6"/>
    <w:rsid w:val="0021062C"/>
    <w:rsid w:val="00215DB5"/>
    <w:rsid w:val="0021677F"/>
    <w:rsid w:val="00223C95"/>
    <w:rsid w:val="00246EF8"/>
    <w:rsid w:val="002573C9"/>
    <w:rsid w:val="00266BB6"/>
    <w:rsid w:val="00270D4E"/>
    <w:rsid w:val="002A025C"/>
    <w:rsid w:val="002B36BB"/>
    <w:rsid w:val="002B5933"/>
    <w:rsid w:val="002E1EB5"/>
    <w:rsid w:val="003007B1"/>
    <w:rsid w:val="00302BAE"/>
    <w:rsid w:val="003145B1"/>
    <w:rsid w:val="003156DE"/>
    <w:rsid w:val="003229A8"/>
    <w:rsid w:val="0032603E"/>
    <w:rsid w:val="0032708B"/>
    <w:rsid w:val="003328A8"/>
    <w:rsid w:val="003333F6"/>
    <w:rsid w:val="003436E4"/>
    <w:rsid w:val="0034594C"/>
    <w:rsid w:val="00354D1A"/>
    <w:rsid w:val="00370DE3"/>
    <w:rsid w:val="0039086C"/>
    <w:rsid w:val="00397E78"/>
    <w:rsid w:val="003B182F"/>
    <w:rsid w:val="003C3524"/>
    <w:rsid w:val="003C5EFE"/>
    <w:rsid w:val="003C6E4E"/>
    <w:rsid w:val="003D0F18"/>
    <w:rsid w:val="003E54D2"/>
    <w:rsid w:val="003F1918"/>
    <w:rsid w:val="00405572"/>
    <w:rsid w:val="004071E0"/>
    <w:rsid w:val="00411276"/>
    <w:rsid w:val="004209EC"/>
    <w:rsid w:val="00427BFC"/>
    <w:rsid w:val="00447C21"/>
    <w:rsid w:val="00455670"/>
    <w:rsid w:val="004558EF"/>
    <w:rsid w:val="00455D8E"/>
    <w:rsid w:val="00474CD5"/>
    <w:rsid w:val="004764C6"/>
    <w:rsid w:val="00477627"/>
    <w:rsid w:val="00481864"/>
    <w:rsid w:val="004837F4"/>
    <w:rsid w:val="004A78CB"/>
    <w:rsid w:val="004A7A0C"/>
    <w:rsid w:val="004B3F4B"/>
    <w:rsid w:val="004B7341"/>
    <w:rsid w:val="004C0770"/>
    <w:rsid w:val="004C102D"/>
    <w:rsid w:val="004C1098"/>
    <w:rsid w:val="004D015F"/>
    <w:rsid w:val="004F0DDE"/>
    <w:rsid w:val="004F0F0C"/>
    <w:rsid w:val="004F49F7"/>
    <w:rsid w:val="004F7DD2"/>
    <w:rsid w:val="005217F0"/>
    <w:rsid w:val="005562A4"/>
    <w:rsid w:val="00560A70"/>
    <w:rsid w:val="005765D2"/>
    <w:rsid w:val="00576E9E"/>
    <w:rsid w:val="005860E7"/>
    <w:rsid w:val="005A6066"/>
    <w:rsid w:val="005B2665"/>
    <w:rsid w:val="005E57F6"/>
    <w:rsid w:val="0060061B"/>
    <w:rsid w:val="006006BB"/>
    <w:rsid w:val="0060275F"/>
    <w:rsid w:val="00642135"/>
    <w:rsid w:val="00647A52"/>
    <w:rsid w:val="00651819"/>
    <w:rsid w:val="0065393B"/>
    <w:rsid w:val="00686E6C"/>
    <w:rsid w:val="006A39BD"/>
    <w:rsid w:val="006A60EF"/>
    <w:rsid w:val="006B44D5"/>
    <w:rsid w:val="006C43D1"/>
    <w:rsid w:val="006C59DB"/>
    <w:rsid w:val="006D067C"/>
    <w:rsid w:val="006D0F1C"/>
    <w:rsid w:val="006E44B3"/>
    <w:rsid w:val="006F7B2A"/>
    <w:rsid w:val="00700322"/>
    <w:rsid w:val="00701AD6"/>
    <w:rsid w:val="0071347C"/>
    <w:rsid w:val="00715CC5"/>
    <w:rsid w:val="00735F3C"/>
    <w:rsid w:val="00753142"/>
    <w:rsid w:val="007545C5"/>
    <w:rsid w:val="0076162A"/>
    <w:rsid w:val="00764817"/>
    <w:rsid w:val="00797064"/>
    <w:rsid w:val="007E627A"/>
    <w:rsid w:val="007F3163"/>
    <w:rsid w:val="007F43F7"/>
    <w:rsid w:val="007F48B3"/>
    <w:rsid w:val="007F55E4"/>
    <w:rsid w:val="008053C2"/>
    <w:rsid w:val="00806574"/>
    <w:rsid w:val="00813E7D"/>
    <w:rsid w:val="0082485B"/>
    <w:rsid w:val="0082640A"/>
    <w:rsid w:val="00832D25"/>
    <w:rsid w:val="00844908"/>
    <w:rsid w:val="008801DB"/>
    <w:rsid w:val="008847AA"/>
    <w:rsid w:val="00885511"/>
    <w:rsid w:val="00886A9A"/>
    <w:rsid w:val="00892D57"/>
    <w:rsid w:val="008B23DF"/>
    <w:rsid w:val="008B6BE8"/>
    <w:rsid w:val="008C6F14"/>
    <w:rsid w:val="008C707C"/>
    <w:rsid w:val="008D1015"/>
    <w:rsid w:val="008F1C11"/>
    <w:rsid w:val="008F1E01"/>
    <w:rsid w:val="008F4993"/>
    <w:rsid w:val="008F6052"/>
    <w:rsid w:val="009324F0"/>
    <w:rsid w:val="00936C26"/>
    <w:rsid w:val="00943237"/>
    <w:rsid w:val="00944F28"/>
    <w:rsid w:val="009700D5"/>
    <w:rsid w:val="00980579"/>
    <w:rsid w:val="0098321B"/>
    <w:rsid w:val="009845A8"/>
    <w:rsid w:val="00985A15"/>
    <w:rsid w:val="00987395"/>
    <w:rsid w:val="00996239"/>
    <w:rsid w:val="009A05C3"/>
    <w:rsid w:val="009A5FCB"/>
    <w:rsid w:val="009B0AB3"/>
    <w:rsid w:val="009B4483"/>
    <w:rsid w:val="009E2354"/>
    <w:rsid w:val="009E58B3"/>
    <w:rsid w:val="009E6D3D"/>
    <w:rsid w:val="009F2417"/>
    <w:rsid w:val="00A03317"/>
    <w:rsid w:val="00A13263"/>
    <w:rsid w:val="00A24DC9"/>
    <w:rsid w:val="00A42911"/>
    <w:rsid w:val="00A61004"/>
    <w:rsid w:val="00A96B1E"/>
    <w:rsid w:val="00AA4782"/>
    <w:rsid w:val="00AA6668"/>
    <w:rsid w:val="00AA6F0C"/>
    <w:rsid w:val="00AA7262"/>
    <w:rsid w:val="00AB2067"/>
    <w:rsid w:val="00AB2A6E"/>
    <w:rsid w:val="00AC2BA1"/>
    <w:rsid w:val="00AD4B36"/>
    <w:rsid w:val="00AD4D09"/>
    <w:rsid w:val="00AD5E52"/>
    <w:rsid w:val="00AD5F99"/>
    <w:rsid w:val="00AE098A"/>
    <w:rsid w:val="00AE5BEB"/>
    <w:rsid w:val="00AE75FF"/>
    <w:rsid w:val="00B01EC4"/>
    <w:rsid w:val="00B24ADC"/>
    <w:rsid w:val="00B3555C"/>
    <w:rsid w:val="00B54951"/>
    <w:rsid w:val="00B54B5A"/>
    <w:rsid w:val="00B603B7"/>
    <w:rsid w:val="00B811A4"/>
    <w:rsid w:val="00B9065A"/>
    <w:rsid w:val="00BA5021"/>
    <w:rsid w:val="00BB2AE1"/>
    <w:rsid w:val="00BB4C62"/>
    <w:rsid w:val="00BC1D46"/>
    <w:rsid w:val="00BD2DDD"/>
    <w:rsid w:val="00C005F8"/>
    <w:rsid w:val="00C333A6"/>
    <w:rsid w:val="00C4345A"/>
    <w:rsid w:val="00C61808"/>
    <w:rsid w:val="00C63F12"/>
    <w:rsid w:val="00C65C68"/>
    <w:rsid w:val="00C73725"/>
    <w:rsid w:val="00C73928"/>
    <w:rsid w:val="00C7544B"/>
    <w:rsid w:val="00C8604E"/>
    <w:rsid w:val="00C86459"/>
    <w:rsid w:val="00C958C4"/>
    <w:rsid w:val="00CA13EF"/>
    <w:rsid w:val="00CA275B"/>
    <w:rsid w:val="00CB70A9"/>
    <w:rsid w:val="00CD16F3"/>
    <w:rsid w:val="00CD2EC3"/>
    <w:rsid w:val="00CE66BD"/>
    <w:rsid w:val="00D0075D"/>
    <w:rsid w:val="00D06FB3"/>
    <w:rsid w:val="00D15C70"/>
    <w:rsid w:val="00D26791"/>
    <w:rsid w:val="00D522C1"/>
    <w:rsid w:val="00D5377F"/>
    <w:rsid w:val="00D5646D"/>
    <w:rsid w:val="00D623CB"/>
    <w:rsid w:val="00D643AC"/>
    <w:rsid w:val="00D77AE8"/>
    <w:rsid w:val="00D8158C"/>
    <w:rsid w:val="00D82F90"/>
    <w:rsid w:val="00D83E42"/>
    <w:rsid w:val="00D84B7C"/>
    <w:rsid w:val="00D86EE3"/>
    <w:rsid w:val="00DA144A"/>
    <w:rsid w:val="00DA5E85"/>
    <w:rsid w:val="00DB22AB"/>
    <w:rsid w:val="00DB5A66"/>
    <w:rsid w:val="00DB5CFF"/>
    <w:rsid w:val="00DB70BB"/>
    <w:rsid w:val="00DD6378"/>
    <w:rsid w:val="00DD654F"/>
    <w:rsid w:val="00DD78D7"/>
    <w:rsid w:val="00DE036C"/>
    <w:rsid w:val="00DE13EE"/>
    <w:rsid w:val="00DE2F06"/>
    <w:rsid w:val="00DE4D15"/>
    <w:rsid w:val="00DF0908"/>
    <w:rsid w:val="00DF6A86"/>
    <w:rsid w:val="00E01ACF"/>
    <w:rsid w:val="00E31348"/>
    <w:rsid w:val="00E35B00"/>
    <w:rsid w:val="00E37AF9"/>
    <w:rsid w:val="00E77EEC"/>
    <w:rsid w:val="00EC5E1D"/>
    <w:rsid w:val="00ED54B8"/>
    <w:rsid w:val="00EE2431"/>
    <w:rsid w:val="00EF06D7"/>
    <w:rsid w:val="00EF77C9"/>
    <w:rsid w:val="00F0035D"/>
    <w:rsid w:val="00F016C2"/>
    <w:rsid w:val="00F110A1"/>
    <w:rsid w:val="00F11A69"/>
    <w:rsid w:val="00F200B2"/>
    <w:rsid w:val="00F33F72"/>
    <w:rsid w:val="00F43B9A"/>
    <w:rsid w:val="00F927FA"/>
    <w:rsid w:val="00FA3103"/>
    <w:rsid w:val="00FA4574"/>
    <w:rsid w:val="00FB083A"/>
    <w:rsid w:val="00FD1FA7"/>
    <w:rsid w:val="00FF6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7D9CBD3"/>
  <w15:chartTrackingRefBased/>
  <w15:docId w15:val="{54B6E5F2-2196-43BB-AA05-08FD69E3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70BB"/>
    <w:rPr>
      <w:rFonts w:ascii="Arial" w:hAnsi="Arial"/>
      <w:szCs w:val="24"/>
      <w:lang w:eastAsia="en-US"/>
    </w:rPr>
  </w:style>
  <w:style w:type="paragraph" w:styleId="Heading1">
    <w:name w:val="heading 1"/>
    <w:basedOn w:val="Normal"/>
    <w:next w:val="Normal"/>
    <w:link w:val="Heading1Char"/>
    <w:qFormat/>
    <w:rsid w:val="002A025C"/>
    <w:pPr>
      <w:keepNext/>
      <w:spacing w:before="240" w:after="60"/>
      <w:outlineLvl w:val="0"/>
    </w:pPr>
    <w:rPr>
      <w:rFonts w:ascii="Cambria" w:eastAsia="SimSu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1819"/>
    <w:pPr>
      <w:tabs>
        <w:tab w:val="center" w:pos="4153"/>
        <w:tab w:val="right" w:pos="8306"/>
      </w:tabs>
    </w:pPr>
  </w:style>
  <w:style w:type="paragraph" w:styleId="Footer">
    <w:name w:val="footer"/>
    <w:basedOn w:val="Normal"/>
    <w:link w:val="FooterChar"/>
    <w:uiPriority w:val="99"/>
    <w:rsid w:val="00651819"/>
    <w:pPr>
      <w:tabs>
        <w:tab w:val="center" w:pos="4153"/>
        <w:tab w:val="right" w:pos="8306"/>
      </w:tabs>
    </w:pPr>
  </w:style>
  <w:style w:type="paragraph" w:customStyle="1" w:styleId="Action">
    <w:name w:val="Action"/>
    <w:basedOn w:val="Normal"/>
    <w:rsid w:val="00651819"/>
    <w:pPr>
      <w:jc w:val="right"/>
    </w:pPr>
    <w:rPr>
      <w:b/>
      <w:bCs/>
      <w:color w:val="81C240"/>
      <w:szCs w:val="20"/>
      <w:u w:val="single"/>
    </w:rPr>
  </w:style>
  <w:style w:type="character" w:customStyle="1" w:styleId="GreenHeading1">
    <w:name w:val="Green Heading 1"/>
    <w:rsid w:val="00651819"/>
    <w:rPr>
      <w:rFonts w:ascii="Univers 45 Light" w:hAnsi="Univers 45 Light"/>
      <w:b/>
      <w:bCs/>
      <w:color w:val="81C240"/>
      <w:sz w:val="38"/>
    </w:rPr>
  </w:style>
  <w:style w:type="character" w:styleId="Hyperlink">
    <w:name w:val="Hyperlink"/>
    <w:uiPriority w:val="99"/>
    <w:rsid w:val="00651819"/>
    <w:rPr>
      <w:color w:val="0000FF"/>
      <w:u w:val="single"/>
    </w:rPr>
  </w:style>
  <w:style w:type="paragraph" w:styleId="ListBullet">
    <w:name w:val="List Bullet"/>
    <w:basedOn w:val="Normal"/>
    <w:rsid w:val="00651819"/>
    <w:pPr>
      <w:numPr>
        <w:numId w:val="2"/>
      </w:numPr>
    </w:pPr>
  </w:style>
  <w:style w:type="numbering" w:customStyle="1" w:styleId="StyleNumbered">
    <w:name w:val="Style Numbered"/>
    <w:rsid w:val="00651819"/>
    <w:pPr>
      <w:numPr>
        <w:numId w:val="3"/>
      </w:numPr>
    </w:pPr>
  </w:style>
  <w:style w:type="paragraph" w:styleId="BodyText2">
    <w:name w:val="Body Text 2"/>
    <w:basedOn w:val="Normal"/>
    <w:rsid w:val="00477627"/>
    <w:pPr>
      <w:tabs>
        <w:tab w:val="left" w:pos="540"/>
      </w:tabs>
      <w:jc w:val="both"/>
    </w:pPr>
    <w:rPr>
      <w:rFonts w:ascii="Times New Roman" w:hAnsi="Times New Roman"/>
      <w:sz w:val="24"/>
    </w:rPr>
  </w:style>
  <w:style w:type="character" w:customStyle="1" w:styleId="Heading1Char">
    <w:name w:val="Heading 1 Char"/>
    <w:link w:val="Heading1"/>
    <w:rsid w:val="002A025C"/>
    <w:rPr>
      <w:rFonts w:ascii="Cambria" w:eastAsia="SimSun" w:hAnsi="Cambria" w:cs="Times New Roman"/>
      <w:b/>
      <w:bCs/>
      <w:kern w:val="32"/>
      <w:sz w:val="32"/>
      <w:szCs w:val="32"/>
      <w:lang w:eastAsia="en-US"/>
    </w:rPr>
  </w:style>
  <w:style w:type="character" w:customStyle="1" w:styleId="FooterChar">
    <w:name w:val="Footer Char"/>
    <w:link w:val="Footer"/>
    <w:uiPriority w:val="99"/>
    <w:rsid w:val="00202DE5"/>
    <w:rPr>
      <w:rFonts w:ascii="Arial" w:hAnsi="Arial"/>
      <w:szCs w:val="24"/>
      <w:lang w:eastAsia="en-US"/>
    </w:rPr>
  </w:style>
  <w:style w:type="character" w:customStyle="1" w:styleId="period">
    <w:name w:val="period"/>
    <w:basedOn w:val="DefaultParagraphFont"/>
    <w:rsid w:val="00FB083A"/>
  </w:style>
  <w:style w:type="character" w:customStyle="1" w:styleId="cit">
    <w:name w:val="cit"/>
    <w:basedOn w:val="DefaultParagraphFont"/>
    <w:rsid w:val="00FB083A"/>
  </w:style>
  <w:style w:type="character" w:customStyle="1" w:styleId="citation-doi">
    <w:name w:val="citation-doi"/>
    <w:basedOn w:val="DefaultParagraphFont"/>
    <w:rsid w:val="00FB083A"/>
  </w:style>
  <w:style w:type="character" w:customStyle="1" w:styleId="authors-list-item">
    <w:name w:val="authors-list-item"/>
    <w:basedOn w:val="DefaultParagraphFont"/>
    <w:rsid w:val="00FB083A"/>
  </w:style>
  <w:style w:type="character" w:styleId="FollowedHyperlink">
    <w:name w:val="FollowedHyperlink"/>
    <w:basedOn w:val="DefaultParagraphFont"/>
    <w:rsid w:val="00044593"/>
    <w:rPr>
      <w:color w:val="954F72" w:themeColor="followedHyperlink"/>
      <w:u w:val="single"/>
    </w:rPr>
  </w:style>
  <w:style w:type="paragraph" w:styleId="Bibliography">
    <w:name w:val="Bibliography"/>
    <w:basedOn w:val="Normal"/>
    <w:next w:val="Normal"/>
    <w:uiPriority w:val="37"/>
    <w:unhideWhenUsed/>
    <w:rsid w:val="00980579"/>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540936">
      <w:bodyDiv w:val="1"/>
      <w:marLeft w:val="0"/>
      <w:marRight w:val="0"/>
      <w:marTop w:val="0"/>
      <w:marBottom w:val="0"/>
      <w:divBdr>
        <w:top w:val="none" w:sz="0" w:space="0" w:color="auto"/>
        <w:left w:val="none" w:sz="0" w:space="0" w:color="auto"/>
        <w:bottom w:val="none" w:sz="0" w:space="0" w:color="auto"/>
        <w:right w:val="none" w:sz="0" w:space="0" w:color="auto"/>
      </w:divBdr>
      <w:divsChild>
        <w:div w:id="1316030756">
          <w:marLeft w:val="0"/>
          <w:marRight w:val="0"/>
          <w:marTop w:val="15"/>
          <w:marBottom w:val="0"/>
          <w:divBdr>
            <w:top w:val="single" w:sz="48" w:space="0" w:color="auto"/>
            <w:left w:val="single" w:sz="48" w:space="0" w:color="auto"/>
            <w:bottom w:val="single" w:sz="48" w:space="0" w:color="auto"/>
            <w:right w:val="single" w:sz="48" w:space="0" w:color="auto"/>
          </w:divBdr>
          <w:divsChild>
            <w:div w:id="6205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45546">
      <w:bodyDiv w:val="1"/>
      <w:marLeft w:val="0"/>
      <w:marRight w:val="0"/>
      <w:marTop w:val="0"/>
      <w:marBottom w:val="0"/>
      <w:divBdr>
        <w:top w:val="none" w:sz="0" w:space="0" w:color="auto"/>
        <w:left w:val="none" w:sz="0" w:space="0" w:color="auto"/>
        <w:bottom w:val="none" w:sz="0" w:space="0" w:color="auto"/>
        <w:right w:val="none" w:sz="0" w:space="0" w:color="auto"/>
      </w:divBdr>
      <w:divsChild>
        <w:div w:id="811362002">
          <w:marLeft w:val="0"/>
          <w:marRight w:val="0"/>
          <w:marTop w:val="0"/>
          <w:marBottom w:val="0"/>
          <w:divBdr>
            <w:top w:val="none" w:sz="0" w:space="0" w:color="auto"/>
            <w:left w:val="none" w:sz="0" w:space="0" w:color="auto"/>
            <w:bottom w:val="none" w:sz="0" w:space="0" w:color="auto"/>
            <w:right w:val="none" w:sz="0" w:space="0" w:color="auto"/>
          </w:divBdr>
          <w:divsChild>
            <w:div w:id="1465388813">
              <w:marLeft w:val="0"/>
              <w:marRight w:val="0"/>
              <w:marTop w:val="0"/>
              <w:marBottom w:val="0"/>
              <w:divBdr>
                <w:top w:val="none" w:sz="0" w:space="0" w:color="auto"/>
                <w:left w:val="none" w:sz="0" w:space="0" w:color="auto"/>
                <w:bottom w:val="none" w:sz="0" w:space="0" w:color="auto"/>
                <w:right w:val="none" w:sz="0" w:space="0" w:color="auto"/>
              </w:divBdr>
            </w:div>
            <w:div w:id="288365704">
              <w:marLeft w:val="0"/>
              <w:marRight w:val="0"/>
              <w:marTop w:val="0"/>
              <w:marBottom w:val="0"/>
              <w:divBdr>
                <w:top w:val="none" w:sz="0" w:space="0" w:color="auto"/>
                <w:left w:val="none" w:sz="0" w:space="0" w:color="auto"/>
                <w:bottom w:val="none" w:sz="0" w:space="0" w:color="auto"/>
                <w:right w:val="none" w:sz="0" w:space="0" w:color="auto"/>
              </w:divBdr>
              <w:divsChild>
                <w:div w:id="1604606786">
                  <w:marLeft w:val="0"/>
                  <w:marRight w:val="0"/>
                  <w:marTop w:val="0"/>
                  <w:marBottom w:val="0"/>
                  <w:divBdr>
                    <w:top w:val="none" w:sz="0" w:space="0" w:color="auto"/>
                    <w:left w:val="none" w:sz="0" w:space="0" w:color="auto"/>
                    <w:bottom w:val="none" w:sz="0" w:space="0" w:color="auto"/>
                    <w:right w:val="none" w:sz="0" w:space="0" w:color="auto"/>
                  </w:divBdr>
                  <w:divsChild>
                    <w:div w:id="168474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05867">
          <w:marLeft w:val="0"/>
          <w:marRight w:val="0"/>
          <w:marTop w:val="0"/>
          <w:marBottom w:val="0"/>
          <w:divBdr>
            <w:top w:val="none" w:sz="0" w:space="0" w:color="auto"/>
            <w:left w:val="none" w:sz="0" w:space="0" w:color="auto"/>
            <w:bottom w:val="none" w:sz="0" w:space="0" w:color="auto"/>
            <w:right w:val="none" w:sz="0" w:space="0" w:color="auto"/>
          </w:divBdr>
          <w:divsChild>
            <w:div w:id="310794891">
              <w:marLeft w:val="0"/>
              <w:marRight w:val="0"/>
              <w:marTop w:val="0"/>
              <w:marBottom w:val="0"/>
              <w:divBdr>
                <w:top w:val="none" w:sz="0" w:space="0" w:color="auto"/>
                <w:left w:val="none" w:sz="0" w:space="0" w:color="auto"/>
                <w:bottom w:val="none" w:sz="0" w:space="0" w:color="auto"/>
                <w:right w:val="none" w:sz="0" w:space="0" w:color="auto"/>
              </w:divBdr>
              <w:divsChild>
                <w:div w:id="78381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HSST\HSST%20AMBS%20Unit%20A\AMBS%20Assignment%201%20model%20of%20professionalism%2015.09.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2CDCA-9CA7-470D-B131-52A0FCDE8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AMBS Assignment 1 model of professionalism 15.09.2023</Template>
  <TotalTime>0</TotalTime>
  <Pages>15</Pages>
  <Words>3424</Words>
  <Characters>28952</Characters>
  <Application>Microsoft Office Word</Application>
  <DocSecurity>0</DocSecurity>
  <Lines>241</Lines>
  <Paragraphs>64</Paragraphs>
  <ScaleCrop>false</ScaleCrop>
  <HeadingPairs>
    <vt:vector size="2" baseType="variant">
      <vt:variant>
        <vt:lpstr>Title</vt:lpstr>
      </vt:variant>
      <vt:variant>
        <vt:i4>1</vt:i4>
      </vt:variant>
    </vt:vector>
  </HeadingPairs>
  <TitlesOfParts>
    <vt:vector size="1" baseType="lpstr">
      <vt:lpstr>Managing Projects</vt:lpstr>
    </vt:vector>
  </TitlesOfParts>
  <Company>Manchester Business School</Company>
  <LinksUpToDate>false</LinksUpToDate>
  <CharactersWithSpaces>32312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Projects</dc:title>
  <dc:subject/>
  <dc:creator>Eleanor Blaxland (Cardiff and Vale UHB - Mpce)</dc:creator>
  <cp:keywords/>
  <cp:lastModifiedBy>Eleanor Blaxland (Cardiff and Vale UHB - Mpce)</cp:lastModifiedBy>
  <cp:revision>2</cp:revision>
  <dcterms:created xsi:type="dcterms:W3CDTF">2024-01-20T15:44:00Z</dcterms:created>
  <dcterms:modified xsi:type="dcterms:W3CDTF">2024-01-20T15:44:00Z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id="XEKwUSZ0"/&gt;&lt;style id="http://www.zotero.org/styles/harvard-manchester-business-school" hasBibliography="1" bibliographyStyleHasBeenSet="1"/&gt;&lt;prefs&gt;&lt;pref name="fieldType" value="Field"/&gt;&lt;/prefs&gt;&lt;/</vt:lpwstr>
  </property>
  <property fmtid="{D5CDD505-2E9C-101B-9397-08002B2CF9AE}" pid="3" name="ZOTERO_PREF_2">
    <vt:lpwstr>data&gt;</vt:lpwstr>
  </property>
</Properties>
</file>