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EC1A5" w14:textId="77777777" w:rsidR="00DB1DB6" w:rsidRPr="00DB1DB6" w:rsidRDefault="00C572C1">
      <w:pPr>
        <w:rPr>
          <w:b/>
          <w:sz w:val="32"/>
          <w:szCs w:val="32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4673C19" wp14:editId="47795663">
            <wp:simplePos x="0" y="0"/>
            <wp:positionH relativeFrom="column">
              <wp:posOffset>3413760</wp:posOffset>
            </wp:positionH>
            <wp:positionV relativeFrom="paragraph">
              <wp:posOffset>-74295</wp:posOffset>
            </wp:positionV>
            <wp:extent cx="2626360" cy="8401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360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DB6" w:rsidRPr="00DB1DB6">
        <w:rPr>
          <w:b/>
          <w:sz w:val="32"/>
          <w:szCs w:val="32"/>
          <w:u w:val="single"/>
        </w:rPr>
        <w:t>REFLECTIVE CPD ACTIVITY FORM</w:t>
      </w:r>
    </w:p>
    <w:p w14:paraId="2247A9BD" w14:textId="77777777" w:rsidR="00DB1DB6" w:rsidRPr="00DB1DB6" w:rsidRDefault="00DB1DB6">
      <w:pPr>
        <w:rPr>
          <w:b/>
          <w:sz w:val="28"/>
          <w:szCs w:val="28"/>
          <w:u w:val="single"/>
        </w:rPr>
      </w:pPr>
      <w:r w:rsidRPr="00DB1DB6">
        <w:rPr>
          <w:b/>
          <w:sz w:val="28"/>
          <w:szCs w:val="28"/>
          <w:u w:val="single"/>
        </w:rPr>
        <w:t>Name:</w:t>
      </w:r>
      <w:r w:rsidRPr="00DB1DB6">
        <w:rPr>
          <w:noProof/>
          <w:lang w:eastAsia="en-GB"/>
        </w:rPr>
        <w:t xml:space="preserve"> </w:t>
      </w:r>
      <w:r w:rsidR="007C19B0">
        <w:rPr>
          <w:noProof/>
          <w:lang w:eastAsia="en-GB"/>
        </w:rPr>
        <w:tab/>
      </w:r>
      <w:r w:rsidR="007C19B0" w:rsidRPr="007C19B0">
        <w:rPr>
          <w:b/>
          <w:noProof/>
          <w:sz w:val="28"/>
          <w:szCs w:val="28"/>
          <w:lang w:eastAsia="en-GB"/>
        </w:rPr>
        <w:t>Minta Sabrina Palmer</w:t>
      </w:r>
    </w:p>
    <w:p w14:paraId="3247867C" w14:textId="77777777" w:rsidR="00DB1DB6" w:rsidRPr="00DB1DB6" w:rsidRDefault="00DB1DB6">
      <w:pPr>
        <w:rPr>
          <w:b/>
          <w:sz w:val="28"/>
          <w:szCs w:val="28"/>
          <w:u w:val="single"/>
        </w:rPr>
      </w:pPr>
      <w:r w:rsidRPr="00DB1DB6">
        <w:rPr>
          <w:b/>
          <w:sz w:val="28"/>
          <w:szCs w:val="28"/>
          <w:u w:val="single"/>
        </w:rPr>
        <w:t>Job Role:</w:t>
      </w:r>
      <w:r w:rsidR="007C19B0" w:rsidRPr="007C19B0">
        <w:rPr>
          <w:b/>
          <w:sz w:val="28"/>
          <w:szCs w:val="28"/>
        </w:rPr>
        <w:tab/>
        <w:t>Lead Vascular Technologist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362"/>
        <w:gridCol w:w="3362"/>
      </w:tblGrid>
      <w:tr w:rsidR="008707B0" w:rsidRPr="004E2F40" w14:paraId="19F6ACB3" w14:textId="77777777" w:rsidTr="00DB1DB6">
        <w:trPr>
          <w:trHeight w:val="1263"/>
        </w:trPr>
        <w:tc>
          <w:tcPr>
            <w:tcW w:w="2518" w:type="dxa"/>
            <w:shd w:val="clear" w:color="auto" w:fill="auto"/>
          </w:tcPr>
          <w:p w14:paraId="7CFF202E" w14:textId="77777777" w:rsidR="008707B0" w:rsidRPr="00967E56" w:rsidRDefault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67E56">
              <w:rPr>
                <w:rFonts w:asciiTheme="minorHAnsi" w:hAnsiTheme="minorHAnsi" w:cstheme="minorHAnsi"/>
                <w:sz w:val="24"/>
                <w:szCs w:val="24"/>
              </w:rPr>
              <w:t>Description:</w:t>
            </w:r>
          </w:p>
        </w:tc>
        <w:tc>
          <w:tcPr>
            <w:tcW w:w="6724" w:type="dxa"/>
            <w:gridSpan w:val="2"/>
            <w:shd w:val="clear" w:color="auto" w:fill="auto"/>
          </w:tcPr>
          <w:p w14:paraId="62827C72" w14:textId="77777777" w:rsidR="00F459DD" w:rsidRDefault="00B57028" w:rsidP="00BD572C">
            <w:pPr>
              <w:pStyle w:val="NoSpacing"/>
              <w:rPr>
                <w:sz w:val="24"/>
                <w:szCs w:val="24"/>
              </w:rPr>
            </w:pPr>
            <w:r w:rsidRPr="00B57028">
              <w:rPr>
                <w:sz w:val="24"/>
                <w:szCs w:val="24"/>
              </w:rPr>
              <w:t>The Vascular Societies' Annual Scientific Meeting</w:t>
            </w:r>
          </w:p>
          <w:p w14:paraId="42ED0572" w14:textId="77777777" w:rsidR="00B57028" w:rsidRPr="00B57028" w:rsidRDefault="00B57028" w:rsidP="00BD572C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Virtual Conference</w:t>
            </w:r>
          </w:p>
        </w:tc>
      </w:tr>
      <w:tr w:rsidR="00DB1DB6" w:rsidRPr="004E2F40" w14:paraId="18C5D776" w14:textId="77777777" w:rsidTr="003142B4">
        <w:trPr>
          <w:trHeight w:val="839"/>
        </w:trPr>
        <w:tc>
          <w:tcPr>
            <w:tcW w:w="2518" w:type="dxa"/>
            <w:shd w:val="clear" w:color="auto" w:fill="auto"/>
          </w:tcPr>
          <w:p w14:paraId="274C110A" w14:textId="77777777" w:rsidR="00DB1DB6" w:rsidRPr="00967E56" w:rsidRDefault="00DB1DB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67E56">
              <w:rPr>
                <w:rFonts w:asciiTheme="minorHAnsi" w:hAnsiTheme="minorHAnsi" w:cstheme="minorHAnsi"/>
                <w:sz w:val="24"/>
                <w:szCs w:val="24"/>
              </w:rPr>
              <w:t>Date(s):</w:t>
            </w:r>
          </w:p>
        </w:tc>
        <w:tc>
          <w:tcPr>
            <w:tcW w:w="3362" w:type="dxa"/>
            <w:shd w:val="clear" w:color="auto" w:fill="auto"/>
          </w:tcPr>
          <w:p w14:paraId="2C368773" w14:textId="77777777" w:rsidR="00DB1DB6" w:rsidRPr="008C2140" w:rsidRDefault="0062070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839927419"/>
                <w:placeholder>
                  <w:docPart w:val="DefaultPlaceholder_1082065160"/>
                </w:placeholder>
                <w:date w:fullDate="2020-11-24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B57028">
                  <w:rPr>
                    <w:rFonts w:asciiTheme="minorHAnsi" w:hAnsiTheme="minorHAnsi" w:cstheme="minorHAnsi"/>
                    <w:sz w:val="24"/>
                    <w:szCs w:val="24"/>
                  </w:rPr>
                  <w:t>24/11/2020</w:t>
                </w:r>
              </w:sdtContent>
            </w:sdt>
            <w:r w:rsidR="00B57028">
              <w:rPr>
                <w:rFonts w:asciiTheme="minorHAnsi" w:hAnsiTheme="minorHAnsi" w:cstheme="minorHAnsi"/>
                <w:sz w:val="24"/>
                <w:szCs w:val="24"/>
              </w:rPr>
              <w:t xml:space="preserve"> to 27/11/2020</w:t>
            </w:r>
          </w:p>
        </w:tc>
        <w:tc>
          <w:tcPr>
            <w:tcW w:w="3362" w:type="dxa"/>
            <w:shd w:val="clear" w:color="auto" w:fill="auto"/>
          </w:tcPr>
          <w:p w14:paraId="42F6FFF3" w14:textId="77777777" w:rsidR="00DB1DB6" w:rsidRPr="008C2140" w:rsidRDefault="00DB1DB6" w:rsidP="00B5702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C2140">
              <w:rPr>
                <w:rFonts w:asciiTheme="minorHAnsi" w:hAnsiTheme="minorHAnsi" w:cstheme="minorHAnsi"/>
                <w:sz w:val="24"/>
                <w:szCs w:val="24"/>
              </w:rPr>
              <w:t>Total Days/Hours:</w:t>
            </w:r>
            <w:r w:rsidR="004E2F40" w:rsidRPr="008C2140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581284225"/>
                <w:placeholder>
                  <w:docPart w:val="DefaultPlaceholder_1082065158"/>
                </w:placeholder>
              </w:sdtPr>
              <w:sdtEndPr/>
              <w:sdtContent>
                <w:r w:rsidR="00B57028">
                  <w:rPr>
                    <w:rFonts w:asciiTheme="minorHAnsi" w:hAnsiTheme="minorHAnsi" w:cstheme="minorHAnsi"/>
                    <w:sz w:val="24"/>
                    <w:szCs w:val="24"/>
                  </w:rPr>
                  <w:t>5</w:t>
                </w:r>
              </w:sdtContent>
            </w:sdt>
            <w:r w:rsidR="007C19B0" w:rsidRPr="008C2140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488597459"/>
                <w:placeholder>
                  <w:docPart w:val="977209C9D3084F8B9389ABF7633A1F1D"/>
                </w:placeholder>
                <w:dropDownList>
                  <w:listItem w:value="Choose an item."/>
                  <w:listItem w:displayText="Hours" w:value="Hours"/>
                  <w:listItem w:displayText="Days" w:value="Days"/>
                </w:dropDownList>
              </w:sdtPr>
              <w:sdtEndPr/>
              <w:sdtContent>
                <w:r w:rsidR="004E2F40" w:rsidRPr="008C2140">
                  <w:rPr>
                    <w:rFonts w:asciiTheme="minorHAnsi" w:hAnsiTheme="minorHAnsi" w:cstheme="minorHAnsi"/>
                    <w:sz w:val="24"/>
                    <w:szCs w:val="24"/>
                  </w:rPr>
                  <w:t>Hours</w:t>
                </w:r>
              </w:sdtContent>
            </w:sdt>
            <w:r w:rsidR="004E2F40" w:rsidRPr="008C2140"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</w:p>
        </w:tc>
      </w:tr>
      <w:tr w:rsidR="008707B0" w:rsidRPr="004E2F40" w14:paraId="619419E4" w14:textId="77777777" w:rsidTr="00DB1DB6">
        <w:trPr>
          <w:trHeight w:val="850"/>
        </w:trPr>
        <w:tc>
          <w:tcPr>
            <w:tcW w:w="2518" w:type="dxa"/>
            <w:shd w:val="clear" w:color="auto" w:fill="auto"/>
          </w:tcPr>
          <w:p w14:paraId="78E77699" w14:textId="77777777" w:rsidR="008707B0" w:rsidRPr="00967E56" w:rsidRDefault="008707B0" w:rsidP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67E56">
              <w:rPr>
                <w:rFonts w:asciiTheme="minorHAnsi" w:hAnsiTheme="minorHAnsi" w:cstheme="minorHAnsi"/>
                <w:sz w:val="24"/>
                <w:szCs w:val="24"/>
              </w:rPr>
              <w:t>Type of activity:</w:t>
            </w:r>
          </w:p>
        </w:tc>
        <w:tc>
          <w:tcPr>
            <w:tcW w:w="6724" w:type="dxa"/>
            <w:gridSpan w:val="2"/>
            <w:shd w:val="clear" w:color="auto" w:fill="auto"/>
          </w:tcPr>
          <w:p w14:paraId="62BDB647" w14:textId="77777777" w:rsidR="00C572C1" w:rsidRPr="008C2140" w:rsidRDefault="00C572C1" w:rsidP="00C572C1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306B4CF" w14:textId="77777777" w:rsidR="00C572C1" w:rsidRPr="008C2140" w:rsidRDefault="0062070D" w:rsidP="00C572C1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44985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F40" w:rsidRPr="008C2140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572C1" w:rsidRPr="008C2140">
              <w:rPr>
                <w:rFonts w:asciiTheme="minorHAnsi" w:hAnsiTheme="minorHAnsi" w:cstheme="minorHAnsi"/>
                <w:sz w:val="24"/>
                <w:szCs w:val="24"/>
              </w:rPr>
              <w:t xml:space="preserve">Educational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5966080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7028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☒</w:t>
                </w:r>
              </w:sdtContent>
            </w:sdt>
            <w:r w:rsidR="00C572C1" w:rsidRPr="008C2140">
              <w:rPr>
                <w:rFonts w:asciiTheme="minorHAnsi" w:hAnsiTheme="minorHAnsi" w:cstheme="minorHAnsi"/>
                <w:sz w:val="24"/>
                <w:szCs w:val="24"/>
              </w:rPr>
              <w:t xml:space="preserve">Professional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394898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7028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C572C1" w:rsidRPr="008C2140">
              <w:rPr>
                <w:rFonts w:asciiTheme="minorHAnsi" w:hAnsiTheme="minorHAnsi" w:cstheme="minorHAnsi"/>
                <w:sz w:val="24"/>
                <w:szCs w:val="24"/>
              </w:rPr>
              <w:t xml:space="preserve">Work-based  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456764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7028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C572C1" w:rsidRPr="008C2140">
              <w:rPr>
                <w:rFonts w:asciiTheme="minorHAnsi" w:hAnsiTheme="minorHAnsi" w:cstheme="minorHAnsi"/>
                <w:sz w:val="24"/>
                <w:szCs w:val="24"/>
              </w:rPr>
              <w:t>Self Directed</w:t>
            </w:r>
          </w:p>
          <w:p w14:paraId="53533C12" w14:textId="77777777" w:rsidR="00C572C1" w:rsidRPr="008C2140" w:rsidRDefault="0062070D" w:rsidP="00C572C1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122401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2C1" w:rsidRPr="008C2140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572C1" w:rsidRPr="008C2140">
              <w:rPr>
                <w:rFonts w:asciiTheme="minorHAnsi" w:hAnsiTheme="minorHAnsi" w:cstheme="minorHAnsi"/>
                <w:sz w:val="24"/>
                <w:szCs w:val="24"/>
              </w:rPr>
              <w:t>Other</w:t>
            </w:r>
          </w:p>
          <w:p w14:paraId="3B345455" w14:textId="77777777" w:rsidR="00C572C1" w:rsidRPr="008C2140" w:rsidRDefault="00C572C1" w:rsidP="00C572C1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707B0" w:rsidRPr="004E2F40" w14:paraId="3BC2F161" w14:textId="77777777" w:rsidTr="00DB1DB6">
        <w:trPr>
          <w:trHeight w:val="1117"/>
        </w:trPr>
        <w:tc>
          <w:tcPr>
            <w:tcW w:w="2518" w:type="dxa"/>
            <w:shd w:val="clear" w:color="auto" w:fill="auto"/>
          </w:tcPr>
          <w:p w14:paraId="09B237F1" w14:textId="77777777" w:rsidR="008707B0" w:rsidRPr="00967E56" w:rsidRDefault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67E56">
              <w:rPr>
                <w:rFonts w:asciiTheme="minorHAnsi" w:hAnsiTheme="minorHAnsi" w:cstheme="minorHAnsi"/>
                <w:sz w:val="24"/>
                <w:szCs w:val="24"/>
              </w:rPr>
              <w:t>Benefits to your practice:</w:t>
            </w:r>
          </w:p>
        </w:tc>
        <w:tc>
          <w:tcPr>
            <w:tcW w:w="6724" w:type="dxa"/>
            <w:gridSpan w:val="2"/>
            <w:shd w:val="clear" w:color="auto" w:fill="auto"/>
          </w:tcPr>
          <w:p w14:paraId="1518D28C" w14:textId="77777777" w:rsidR="00E62D53" w:rsidRDefault="00E62D53" w:rsidP="00EB092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Excellent proposed research projects, which could further the understanding and diagnostic capabilities of sonographers.</w:t>
            </w:r>
          </w:p>
          <w:p w14:paraId="74520EF6" w14:textId="77777777" w:rsidR="008707B0" w:rsidRDefault="00EB092B" w:rsidP="00EB092B">
            <w:pPr>
              <w:pStyle w:val="NoSpacing"/>
              <w:rPr>
                <w:sz w:val="24"/>
                <w:szCs w:val="24"/>
              </w:rPr>
            </w:pPr>
            <w:r w:rsidRPr="00EB092B">
              <w:rPr>
                <w:sz w:val="24"/>
                <w:szCs w:val="24"/>
              </w:rPr>
              <w:t>Prominent profunda femoral vein branches are commonly seen in Venous Duplex scans, usually with small SFV observed; careful</w:t>
            </w:r>
            <w:r>
              <w:rPr>
                <w:sz w:val="24"/>
                <w:szCs w:val="24"/>
              </w:rPr>
              <w:t xml:space="preserve"> scanning of these branches should be performed to ensure that thrombosis is not missed.</w:t>
            </w:r>
          </w:p>
          <w:p w14:paraId="0B14E5DC" w14:textId="77777777" w:rsidR="00EB092B" w:rsidRPr="00EB092B" w:rsidRDefault="00EB092B" w:rsidP="00EB092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 of iliac vein patency is performed at our facility if abnormal flow is detected in the CFV.  Iliac vein visualisation can be suboptimal in a large number of patients, and thrombosis cannot always be excluded.  Calf veins are already routinely scanned.</w:t>
            </w:r>
          </w:p>
        </w:tc>
      </w:tr>
      <w:tr w:rsidR="008707B0" w:rsidRPr="004E2F40" w14:paraId="60C2D74A" w14:textId="77777777" w:rsidTr="00DB1DB6">
        <w:trPr>
          <w:trHeight w:val="1119"/>
        </w:trPr>
        <w:tc>
          <w:tcPr>
            <w:tcW w:w="2518" w:type="dxa"/>
            <w:shd w:val="clear" w:color="auto" w:fill="auto"/>
          </w:tcPr>
          <w:p w14:paraId="40B2E284" w14:textId="77777777" w:rsidR="008707B0" w:rsidRPr="00967E56" w:rsidRDefault="008707B0" w:rsidP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67E56">
              <w:rPr>
                <w:rFonts w:asciiTheme="minorHAnsi" w:hAnsiTheme="minorHAnsi" w:cstheme="minorHAnsi"/>
                <w:sz w:val="24"/>
                <w:szCs w:val="24"/>
              </w:rPr>
              <w:t>Benefits to service user:</w:t>
            </w:r>
          </w:p>
        </w:tc>
        <w:tc>
          <w:tcPr>
            <w:tcW w:w="6724" w:type="dxa"/>
            <w:gridSpan w:val="2"/>
            <w:shd w:val="clear" w:color="auto" w:fill="auto"/>
          </w:tcPr>
          <w:p w14:paraId="29A8B859" w14:textId="77777777" w:rsidR="008707B0" w:rsidRDefault="00EB092B" w:rsidP="00EB092B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Detection of thrombus in a PFV branch allows the patient to be treated for DVT at an earlier stage, before progression into the iliac vessels.</w:t>
            </w:r>
          </w:p>
          <w:p w14:paraId="48B4F25E" w14:textId="77777777" w:rsidR="00E62D53" w:rsidRPr="00EB092B" w:rsidRDefault="00EB092B" w:rsidP="00E62D5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Detection of calf vein thrombosis allows the patient and their GP to help alleviate symptoms, and manage risks </w:t>
            </w:r>
            <w:r w:rsidR="00E62D53">
              <w:rPr>
                <w:sz w:val="24"/>
                <w:szCs w:val="24"/>
              </w:rPr>
              <w:t xml:space="preserve">to prevent progression, </w:t>
            </w:r>
            <w:r>
              <w:rPr>
                <w:sz w:val="24"/>
                <w:szCs w:val="24"/>
              </w:rPr>
              <w:t>especially if th</w:t>
            </w:r>
            <w:r w:rsidR="00E62D53">
              <w:rPr>
                <w:sz w:val="24"/>
                <w:szCs w:val="24"/>
              </w:rPr>
              <w:t>e patient is not anticoagulated. Careful assessment of iliac veins allows detection of thrombosis/stenosis that otherwise would not be identified.</w:t>
            </w:r>
          </w:p>
        </w:tc>
      </w:tr>
      <w:tr w:rsidR="008707B0" w:rsidRPr="004E2F40" w14:paraId="0514DE3F" w14:textId="77777777" w:rsidTr="00E62D53">
        <w:trPr>
          <w:trHeight w:val="447"/>
        </w:trPr>
        <w:tc>
          <w:tcPr>
            <w:tcW w:w="2518" w:type="dxa"/>
            <w:shd w:val="clear" w:color="auto" w:fill="auto"/>
          </w:tcPr>
          <w:p w14:paraId="2DCA153D" w14:textId="77777777" w:rsidR="008707B0" w:rsidRPr="00446101" w:rsidRDefault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46101">
              <w:rPr>
                <w:rFonts w:asciiTheme="minorHAnsi" w:hAnsiTheme="minorHAnsi" w:cstheme="minorHAnsi"/>
                <w:sz w:val="24"/>
                <w:szCs w:val="24"/>
              </w:rPr>
              <w:t>Supporting evidence:</w:t>
            </w:r>
          </w:p>
        </w:tc>
        <w:tc>
          <w:tcPr>
            <w:tcW w:w="6724" w:type="dxa"/>
            <w:gridSpan w:val="2"/>
            <w:shd w:val="clear" w:color="auto" w:fill="auto"/>
          </w:tcPr>
          <w:p w14:paraId="197650A8" w14:textId="77777777" w:rsidR="00DF5C4B" w:rsidRDefault="00446101" w:rsidP="00B57028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 w:rsidRPr="008C2140">
              <w:rPr>
                <w:rFonts w:asciiTheme="minorHAnsi" w:hAnsiTheme="minorHAnsi" w:cstheme="minorHAnsi"/>
                <w:sz w:val="24"/>
                <w:szCs w:val="24"/>
              </w:rPr>
              <w:t xml:space="preserve">Copy of </w:t>
            </w:r>
            <w:r w:rsidR="008C2140" w:rsidRPr="008C2140">
              <w:rPr>
                <w:rFonts w:asciiTheme="minorHAnsi" w:hAnsiTheme="minorHAnsi" w:cstheme="minorHAnsi"/>
                <w:sz w:val="24"/>
                <w:szCs w:val="24"/>
              </w:rPr>
              <w:t xml:space="preserve">Certificate of </w:t>
            </w:r>
            <w:r w:rsidR="00B57028">
              <w:rPr>
                <w:rFonts w:asciiTheme="minorHAnsi" w:hAnsiTheme="minorHAnsi" w:cstheme="minorHAnsi"/>
                <w:sz w:val="24"/>
                <w:szCs w:val="24"/>
              </w:rPr>
              <w:t>Attendance</w:t>
            </w:r>
          </w:p>
          <w:p w14:paraId="3C9D9974" w14:textId="34BE1CAC" w:rsidR="0062070D" w:rsidRPr="008C2140" w:rsidRDefault="0062070D" w:rsidP="00B57028">
            <w:pPr>
              <w:pStyle w:val="NoSpacing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Copy of Conference Notes</w:t>
            </w:r>
          </w:p>
        </w:tc>
      </w:tr>
      <w:tr w:rsidR="008707B0" w:rsidRPr="004E2F40" w14:paraId="7D7DDC64" w14:textId="77777777" w:rsidTr="00E62D53">
        <w:trPr>
          <w:trHeight w:val="1461"/>
        </w:trPr>
        <w:tc>
          <w:tcPr>
            <w:tcW w:w="2518" w:type="dxa"/>
            <w:shd w:val="clear" w:color="auto" w:fill="auto"/>
          </w:tcPr>
          <w:p w14:paraId="0C9EC7F8" w14:textId="77777777" w:rsidR="008707B0" w:rsidRPr="004E2F40" w:rsidRDefault="008707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E2F40">
              <w:rPr>
                <w:rFonts w:asciiTheme="minorHAnsi" w:hAnsiTheme="minorHAnsi" w:cstheme="minorHAnsi"/>
                <w:sz w:val="24"/>
                <w:szCs w:val="24"/>
              </w:rPr>
              <w:t>Additional notes:</w:t>
            </w:r>
          </w:p>
        </w:tc>
        <w:tc>
          <w:tcPr>
            <w:tcW w:w="6724" w:type="dxa"/>
            <w:gridSpan w:val="2"/>
            <w:shd w:val="clear" w:color="auto" w:fill="auto"/>
          </w:tcPr>
          <w:p w14:paraId="426A2798" w14:textId="77777777" w:rsidR="008707B0" w:rsidRPr="00E62D53" w:rsidRDefault="00E62D53" w:rsidP="00E62D53">
            <w:pPr>
              <w:pStyle w:val="NoSpacing"/>
              <w:rPr>
                <w:sz w:val="24"/>
                <w:szCs w:val="24"/>
              </w:rPr>
            </w:pPr>
            <w:r w:rsidRPr="00E62D53">
              <w:rPr>
                <w:sz w:val="24"/>
                <w:szCs w:val="24"/>
              </w:rPr>
              <w:t xml:space="preserve">Superb presentation by Professor David Nott on medicine in war zones.  </w:t>
            </w:r>
            <w:r>
              <w:rPr>
                <w:sz w:val="24"/>
                <w:szCs w:val="24"/>
              </w:rPr>
              <w:t>He really demonstrated the importance of innovative thinking in regards to using and adapting the technology and skills on hand to achieve good results.</w:t>
            </w:r>
          </w:p>
        </w:tc>
      </w:tr>
    </w:tbl>
    <w:p w14:paraId="607CD0ED" w14:textId="77777777" w:rsidR="00C42728" w:rsidRPr="004E2F40" w:rsidRDefault="00DB1DB6">
      <w:pPr>
        <w:rPr>
          <w:rFonts w:asciiTheme="minorHAnsi" w:hAnsiTheme="minorHAnsi" w:cstheme="minorHAnsi"/>
          <w:b/>
          <w:i/>
          <w:sz w:val="24"/>
          <w:szCs w:val="24"/>
        </w:rPr>
      </w:pPr>
      <w:r w:rsidRPr="004E2F40">
        <w:rPr>
          <w:rFonts w:asciiTheme="minorHAnsi" w:hAnsiTheme="minorHAnsi" w:cstheme="minorHAnsi"/>
          <w:b/>
          <w:i/>
          <w:sz w:val="24"/>
          <w:szCs w:val="24"/>
        </w:rPr>
        <w:t>Please complete reflection form for each activity submitted</w:t>
      </w:r>
    </w:p>
    <w:p w14:paraId="2F6803D1" w14:textId="77777777" w:rsidR="00DB1DB6" w:rsidRDefault="00DB1DB6"/>
    <w:sectPr w:rsidR="00DB1D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07B0"/>
    <w:rsid w:val="00033D9B"/>
    <w:rsid w:val="00060021"/>
    <w:rsid w:val="00095196"/>
    <w:rsid w:val="00305E6B"/>
    <w:rsid w:val="00446101"/>
    <w:rsid w:val="004E2F40"/>
    <w:rsid w:val="0062070D"/>
    <w:rsid w:val="007848E5"/>
    <w:rsid w:val="007C19B0"/>
    <w:rsid w:val="0085444F"/>
    <w:rsid w:val="008707B0"/>
    <w:rsid w:val="008C2140"/>
    <w:rsid w:val="00967E56"/>
    <w:rsid w:val="00A701B5"/>
    <w:rsid w:val="00B57028"/>
    <w:rsid w:val="00BD572C"/>
    <w:rsid w:val="00C42728"/>
    <w:rsid w:val="00C572C1"/>
    <w:rsid w:val="00CD44BF"/>
    <w:rsid w:val="00DB1DB6"/>
    <w:rsid w:val="00DF5C4B"/>
    <w:rsid w:val="00E62D53"/>
    <w:rsid w:val="00E917B2"/>
    <w:rsid w:val="00EB092B"/>
    <w:rsid w:val="00F4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EC761"/>
  <w15:docId w15:val="{07051B5D-17E6-48DB-A908-0608BF89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0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572C1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2C1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E2F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7209C9D3084F8B9389ABF7633A1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04E79-F2D3-4A34-B3FB-892BEDFA7A32}"/>
      </w:docPartPr>
      <w:docPartBody>
        <w:p w:rsidR="0055772F" w:rsidRDefault="0005772C" w:rsidP="0005772C">
          <w:pPr>
            <w:pStyle w:val="977209C9D3084F8B9389ABF7633A1F1D"/>
          </w:pPr>
          <w:r w:rsidRPr="000A4EF7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F5975-3CB5-411D-9C9E-D06FDAEA18DC}"/>
      </w:docPartPr>
      <w:docPartBody>
        <w:p w:rsidR="0055772F" w:rsidRDefault="0005772C">
          <w:r w:rsidRPr="000A4EF7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0B960-797F-4609-9FAA-EB9939FFBFB4}"/>
      </w:docPartPr>
      <w:docPartBody>
        <w:p w:rsidR="0055772F" w:rsidRDefault="0005772C">
          <w:r w:rsidRPr="000A4EF7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772C"/>
    <w:rsid w:val="0005772C"/>
    <w:rsid w:val="0055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772C"/>
    <w:rPr>
      <w:color w:val="808080"/>
    </w:rPr>
  </w:style>
  <w:style w:type="paragraph" w:customStyle="1" w:styleId="977209C9D3084F8B9389ABF7633A1F1D">
    <w:name w:val="977209C9D3084F8B9389ABF7633A1F1D"/>
    <w:rsid w:val="000577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Dorset County Hospital NHS Foundation Trust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Radiology General</dc:creator>
  <cp:lastModifiedBy>Palmer, Sabrina</cp:lastModifiedBy>
  <cp:revision>3</cp:revision>
  <dcterms:created xsi:type="dcterms:W3CDTF">2021-08-16T10:17:00Z</dcterms:created>
  <dcterms:modified xsi:type="dcterms:W3CDTF">2021-08-17T19:47:00Z</dcterms:modified>
</cp:coreProperties>
</file>